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1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</w:tblGrid>
      <w:tr w:rsidR="00E92ACD">
        <w:trPr>
          <w:trHeight w:val="4195"/>
          <w:jc w:val="right"/>
        </w:trPr>
        <w:tc>
          <w:tcPr>
            <w:tcW w:w="4961" w:type="dxa"/>
          </w:tcPr>
          <w:p w:rsidR="00E92ACD" w:rsidRPr="0011328F" w:rsidRDefault="00723603" w:rsidP="0011328F">
            <w:pPr>
              <w:pStyle w:val="ad"/>
            </w:pPr>
            <w:r>
              <w:fldChar w:fldCharType="begin"/>
            </w:r>
            <w:r>
              <w:instrText xml:space="preserve"> DOCVARIABLE KorrespondentOutgoing </w:instrText>
            </w:r>
            <w:r>
              <w:fldChar w:fldCharType="separate"/>
            </w:r>
            <w:r>
              <w:t xml:space="preserve">Государственное учреждение здравоохранения "Центральная городская клиническая </w:t>
            </w:r>
            <w:proofErr w:type="gramStart"/>
            <w:r>
              <w:t>больница  г.</w:t>
            </w:r>
            <w:proofErr w:type="gramEnd"/>
            <w:r>
              <w:t xml:space="preserve"> Ульяновска"</w:t>
            </w:r>
            <w:r>
              <w:br/>
              <w:t>432057, г. Ульяновск, ул. Оренбургская, д. 27</w:t>
            </w:r>
            <w:r>
              <w:br/>
            </w:r>
            <w:r>
              <w:br/>
              <w:t>cgkbzakaz@mail.ru; cgkb73@mail.ru</w:t>
            </w:r>
            <w:r>
              <w:br/>
            </w:r>
            <w:r>
              <w:br/>
              <w:t>Индивидуальный предприниматель Т</w:t>
            </w:r>
            <w:r>
              <w:fldChar w:fldCharType="end"/>
            </w:r>
            <w:r>
              <w:rPr>
                <w:noProof/>
                <w:lang w:eastAsia="ru-RU" w:bidi="ar-SA"/>
              </w:rPr>
              <mc:AlternateContent>
                <mc:Choice Requires="wps">
                  <w:drawing>
                    <wp:anchor distT="72390" distB="72390" distL="72390" distR="72390" simplePos="0" relativeHeight="5" behindDoc="0" locked="0" layoutInCell="0" allowOverlap="1" wp14:anchorId="13F7E000" wp14:editId="2759161A">
                      <wp:simplePos x="0" y="0"/>
                      <wp:positionH relativeFrom="page">
                        <wp:posOffset>2258695</wp:posOffset>
                      </wp:positionH>
                      <wp:positionV relativeFrom="page">
                        <wp:posOffset>2750185</wp:posOffset>
                      </wp:positionV>
                      <wp:extent cx="917575" cy="179705"/>
                      <wp:effectExtent l="0" t="0" r="0" b="0"/>
                      <wp:wrapNone/>
                      <wp:docPr id="2" name="Врезка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75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 w:rsidR="00E92ACD" w:rsidRDefault="00E92ACD">
                                  <w:pPr>
                                    <w:pStyle w:val="aa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72.25pt;height:14.15pt;mso-wrap-distance-left:5.7pt;mso-wrap-distance-right:5.7pt;mso-wrap-distance-top:5.7pt;mso-wrap-distance-bottom:5.7pt;margin-top:216.55pt;mso-position-vertical-relative:page;margin-left:177.85pt;mso-position-horizontal-relative:page">
                      <v:textbox inset="0in,0in,0in,0in">
                        <w:txbxContent>
                          <w:p>
                            <w:pPr>
                              <w:pStyle w:val="Style15"/>
                              <w:spacing w:before="0" w:after="12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noProof/>
                <w:lang w:eastAsia="ru-RU" w:bidi="ar-SA"/>
              </w:rPr>
              <mc:AlternateContent>
                <mc:Choice Requires="wps">
                  <w:drawing>
                    <wp:anchor distT="72390" distB="72390" distL="72390" distR="72390" simplePos="0" relativeHeight="3" behindDoc="0" locked="0" layoutInCell="0" allowOverlap="1" wp14:anchorId="0CB1B7EB" wp14:editId="18E9786F">
                      <wp:simplePos x="0" y="0"/>
                      <wp:positionH relativeFrom="page">
                        <wp:posOffset>1131570</wp:posOffset>
                      </wp:positionH>
                      <wp:positionV relativeFrom="page">
                        <wp:posOffset>2747645</wp:posOffset>
                      </wp:positionV>
                      <wp:extent cx="720090" cy="179705"/>
                      <wp:effectExtent l="0" t="0" r="0" b="0"/>
                      <wp:wrapNone/>
                      <wp:docPr id="4" name="Врезка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0090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 w:rsidR="00E92ACD" w:rsidRDefault="00E92ACD">
                                  <w:pPr>
                                    <w:pStyle w:val="aa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B1B7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Врезка2" o:spid="_x0000_s1027" type="#_x0000_t202" style="position:absolute;margin-left:89.1pt;margin-top:216.35pt;width:56.7pt;height:14.15pt;z-index:3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" o:allowincell="f" stroked="f">
                      <v:textbox inset="0,0,0,0">
                        <w:txbxContent>
                          <w:p w:rsidR="00E92ACD" w:rsidRDefault="00E92ACD">
                            <w:pPr>
                              <w:pStyle w:val="aa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11328F" w:rsidRPr="0011328F">
              <w:t>&lt;…&gt;</w:t>
            </w:r>
          </w:p>
        </w:tc>
      </w:tr>
    </w:tbl>
    <w:p w:rsidR="00E92ACD" w:rsidRDefault="0011328F">
      <w:pPr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72390" distB="72390" distL="72390" distR="72390" simplePos="0" relativeHeight="4" behindDoc="0" locked="0" layoutInCell="0" allowOverlap="1" wp14:anchorId="7B69F79F" wp14:editId="2B4D8FF1">
                <wp:simplePos x="0" y="0"/>
                <wp:positionH relativeFrom="page">
                  <wp:posOffset>698400</wp:posOffset>
                </wp:positionH>
                <wp:positionV relativeFrom="page">
                  <wp:posOffset>3348000</wp:posOffset>
                </wp:positionV>
                <wp:extent cx="2491740" cy="330905"/>
                <wp:effectExtent l="0" t="0" r="3810" b="0"/>
                <wp:wrapNone/>
                <wp:docPr id="3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33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E92ACD" w:rsidRDefault="00723603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instrText xml:space="preserve"> DOCVARIABLE Annotation </w:instrTex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Решение по делу № 073/10/104-824/2026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9F79F" id="Врезка4" o:spid="_x0000_s1028" type="#_x0000_t202" style="position:absolute;left:0;text-align:left;margin-left:55pt;margin-top:263.6pt;width:196.2pt;height:26.05pt;z-index:4;visibility:visible;mso-wrap-style:square;mso-height-percent:0;mso-wrap-distance-left:5.7pt;mso-wrap-distance-top:5.7pt;mso-wrap-distance-right:5.7pt;mso-wrap-distance-bottom:5.7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" o:allowincell="f" stroked="f">
                <v:textbox inset="0,0,0,0">
                  <w:txbxContent>
                    <w:p w:rsidR="00E92ACD" w:rsidRDefault="00723603">
                      <w:pPr>
                        <w:jc w:val="both"/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instrText xml:space="preserve"> DOCVARIABLE Annotation </w:instrTex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separate"/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t>Решение по делу № 073/10/104-824/2026</w: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 wp14:anchorId="151DC77E" wp14:editId="327AE50C">
            <wp:simplePos x="0" y="0"/>
            <wp:positionH relativeFrom="margin">
              <wp:posOffset>-62335</wp:posOffset>
            </wp:positionH>
            <wp:positionV relativeFrom="page">
              <wp:posOffset>229155</wp:posOffset>
            </wp:positionV>
            <wp:extent cx="2628265" cy="3275965"/>
            <wp:effectExtent l="0" t="0" r="0" b="0"/>
            <wp:wrapNone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2ACD" w:rsidRDefault="00E92ACD"/>
    <w:p w:rsidR="00E92ACD" w:rsidRDefault="00723603">
      <w:pPr>
        <w:tabs>
          <w:tab w:val="left" w:pos="5832"/>
        </w:tabs>
        <w:jc w:val="center"/>
        <w:rPr>
          <w:b/>
          <w:lang w:eastAsia="ru-RU"/>
        </w:rPr>
      </w:pPr>
      <w:r>
        <w:rPr>
          <w:b/>
          <w:lang w:eastAsia="ru-RU"/>
        </w:rPr>
        <w:t>РЕШЕНИЕ</w:t>
      </w:r>
    </w:p>
    <w:p w:rsidR="00E92ACD" w:rsidRDefault="00E92ACD">
      <w:pPr>
        <w:jc w:val="center"/>
        <w:rPr>
          <w:lang w:eastAsia="ru-RU"/>
        </w:rPr>
      </w:pPr>
    </w:p>
    <w:p w:rsidR="00E92ACD" w:rsidRDefault="00723603">
      <w:pPr>
        <w:jc w:val="center"/>
      </w:pPr>
      <w:r>
        <w:rPr>
          <w:lang w:eastAsia="ru-RU"/>
        </w:rPr>
        <w:t>по делу № 073/10/104-824/202</w:t>
      </w:r>
      <w:r>
        <w:rPr>
          <w:lang w:val="en-US" w:eastAsia="ru-RU"/>
        </w:rPr>
        <w:t>6</w:t>
      </w:r>
    </w:p>
    <w:tbl>
      <w:tblPr>
        <w:tblW w:w="10212" w:type="dxa"/>
        <w:tblInd w:w="-9" w:type="dxa"/>
        <w:tblLayout w:type="fixed"/>
        <w:tblLook w:val="0000" w:firstRow="0" w:lastRow="0" w:firstColumn="0" w:lastColumn="0" w:noHBand="0" w:noVBand="0"/>
      </w:tblPr>
      <w:tblGrid>
        <w:gridCol w:w="4965"/>
        <w:gridCol w:w="5247"/>
      </w:tblGrid>
      <w:tr w:rsidR="00E92ACD">
        <w:tc>
          <w:tcPr>
            <w:tcW w:w="4965" w:type="dxa"/>
          </w:tcPr>
          <w:p w:rsidR="00E92ACD" w:rsidRDefault="00723603">
            <w:pPr>
              <w:spacing w:line="288" w:lineRule="auto"/>
            </w:pPr>
            <w:r>
              <w:rPr>
                <w:u w:val="single"/>
                <w:lang w:eastAsia="ru-RU"/>
              </w:rPr>
              <w:t>29.09.202</w:t>
            </w:r>
            <w:r>
              <w:rPr>
                <w:u w:val="single"/>
                <w:lang w:val="en-US" w:eastAsia="ru-RU"/>
              </w:rPr>
              <w:t>6</w:t>
            </w:r>
          </w:p>
        </w:tc>
        <w:tc>
          <w:tcPr>
            <w:tcW w:w="5247" w:type="dxa"/>
          </w:tcPr>
          <w:p w:rsidR="00E92ACD" w:rsidRDefault="00723603">
            <w:pPr>
              <w:spacing w:line="288" w:lineRule="auto"/>
              <w:jc w:val="right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 xml:space="preserve"> г. Ульяновск</w:t>
            </w:r>
          </w:p>
          <w:p w:rsidR="00E92ACD" w:rsidRDefault="00E92ACD">
            <w:pPr>
              <w:spacing w:line="288" w:lineRule="auto"/>
              <w:jc w:val="right"/>
              <w:rPr>
                <w:i/>
                <w:u w:val="single"/>
                <w:lang w:eastAsia="ru-RU"/>
              </w:rPr>
            </w:pPr>
          </w:p>
        </w:tc>
      </w:tr>
    </w:tbl>
    <w:p w:rsidR="00E92ACD" w:rsidRDefault="00723603">
      <w:pPr>
        <w:tabs>
          <w:tab w:val="left" w:pos="142"/>
        </w:tabs>
        <w:ind w:firstLine="709"/>
        <w:jc w:val="both"/>
      </w:pPr>
      <w:r>
        <w:rPr>
          <w:lang w:eastAsia="ru-RU"/>
        </w:rPr>
        <w:t xml:space="preserve">На основании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</w:t>
      </w:r>
      <w:r>
        <w:rPr>
          <w:i/>
          <w:lang w:eastAsia="ru-RU"/>
        </w:rPr>
        <w:t>Закон о контрактной системе</w:t>
      </w:r>
      <w:r>
        <w:rPr>
          <w:lang w:eastAsia="ru-RU"/>
        </w:rPr>
        <w:t>) Комиссия Ульяновского УФАС России</w:t>
      </w:r>
      <w:r>
        <w:rPr>
          <w:i/>
          <w:lang w:eastAsia="ru-RU"/>
        </w:rPr>
        <w:t xml:space="preserve"> </w:t>
      </w:r>
      <w:r>
        <w:rPr>
          <w:lang w:eastAsia="ru-RU"/>
        </w:rPr>
        <w:t xml:space="preserve">(далее – </w:t>
      </w:r>
      <w:r>
        <w:rPr>
          <w:i/>
          <w:lang w:eastAsia="ru-RU"/>
        </w:rPr>
        <w:t>Комиссия</w:t>
      </w:r>
      <w:r>
        <w:rPr>
          <w:lang w:eastAsia="ru-RU"/>
        </w:rPr>
        <w:t>) в составе:</w:t>
      </w:r>
    </w:p>
    <w:tbl>
      <w:tblPr>
        <w:tblW w:w="10156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3390"/>
        <w:gridCol w:w="6766"/>
      </w:tblGrid>
      <w:tr w:rsidR="00E92ACD">
        <w:tc>
          <w:tcPr>
            <w:tcW w:w="3390" w:type="dxa"/>
          </w:tcPr>
          <w:p w:rsidR="00E92ACD" w:rsidRDefault="00E92ACD">
            <w:pPr>
              <w:spacing w:line="256" w:lineRule="auto"/>
              <w:rPr>
                <w:lang w:eastAsia="ru-RU"/>
              </w:rPr>
            </w:pPr>
          </w:p>
          <w:p w:rsidR="00E92ACD" w:rsidRDefault="00723603">
            <w:pPr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>председателя Комиссии:</w:t>
            </w:r>
          </w:p>
        </w:tc>
        <w:tc>
          <w:tcPr>
            <w:tcW w:w="6766" w:type="dxa"/>
          </w:tcPr>
          <w:p w:rsidR="00E92ACD" w:rsidRDefault="00E92ACD">
            <w:pPr>
              <w:spacing w:line="256" w:lineRule="auto"/>
              <w:ind w:left="601"/>
              <w:jc w:val="both"/>
              <w:rPr>
                <w:lang w:eastAsia="ru-RU"/>
              </w:rPr>
            </w:pPr>
          </w:p>
          <w:p w:rsidR="00E92ACD" w:rsidRDefault="00723603" w:rsidP="0011328F">
            <w:pPr>
              <w:spacing w:line="256" w:lineRule="auto"/>
              <w:ind w:left="601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- </w:t>
            </w:r>
            <w:r w:rsidR="0011328F">
              <w:rPr>
                <w:lang w:val="en-US"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</w:tc>
      </w:tr>
      <w:tr w:rsidR="00E92ACD">
        <w:tc>
          <w:tcPr>
            <w:tcW w:w="3390" w:type="dxa"/>
          </w:tcPr>
          <w:p w:rsidR="00E92ACD" w:rsidRDefault="00E92ACD">
            <w:pPr>
              <w:rPr>
                <w:rFonts w:eastAsia="Calibri"/>
              </w:rPr>
            </w:pPr>
          </w:p>
          <w:p w:rsidR="00E92ACD" w:rsidRDefault="00723603">
            <w:pPr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 xml:space="preserve">     членов Комиссии:</w:t>
            </w:r>
          </w:p>
        </w:tc>
        <w:tc>
          <w:tcPr>
            <w:tcW w:w="6766" w:type="dxa"/>
          </w:tcPr>
          <w:p w:rsidR="00E92ACD" w:rsidRDefault="00E92ACD">
            <w:pPr>
              <w:jc w:val="both"/>
              <w:rPr>
                <w:rFonts w:eastAsia="Calibri"/>
              </w:rPr>
            </w:pPr>
          </w:p>
          <w:p w:rsidR="00E92ACD" w:rsidRDefault="007236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- </w:t>
            </w:r>
            <w:r w:rsidR="0011328F">
              <w:rPr>
                <w:lang w:val="en-US" w:eastAsia="ru-RU"/>
              </w:rPr>
              <w:t>&lt;…&gt;</w:t>
            </w:r>
            <w:r>
              <w:rPr>
                <w:rFonts w:eastAsia="Calibri"/>
              </w:rPr>
              <w:t>,</w:t>
            </w:r>
          </w:p>
          <w:p w:rsidR="00E92ACD" w:rsidRDefault="007236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- </w:t>
            </w:r>
            <w:r w:rsidR="0011328F">
              <w:rPr>
                <w:lang w:val="en-US" w:eastAsia="ru-RU"/>
              </w:rPr>
              <w:t>&lt;…&gt;</w:t>
            </w:r>
            <w:r>
              <w:rPr>
                <w:rFonts w:eastAsia="Calibri"/>
              </w:rPr>
              <w:t>,</w:t>
            </w:r>
          </w:p>
        </w:tc>
      </w:tr>
      <w:tr w:rsidR="00E92ACD">
        <w:tc>
          <w:tcPr>
            <w:tcW w:w="3390" w:type="dxa"/>
          </w:tcPr>
          <w:p w:rsidR="00E92ACD" w:rsidRDefault="00E92ACD">
            <w:pPr>
              <w:rPr>
                <w:rFonts w:eastAsia="Calibri"/>
              </w:rPr>
            </w:pPr>
          </w:p>
          <w:p w:rsidR="00E92ACD" w:rsidRDefault="00723603">
            <w:pPr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 xml:space="preserve">     в присутствии (с </w:t>
            </w:r>
            <w:proofErr w:type="spellStart"/>
            <w:r>
              <w:rPr>
                <w:rFonts w:eastAsia="Calibri"/>
              </w:rPr>
              <w:t>спользованием</w:t>
            </w:r>
            <w:proofErr w:type="spellEnd"/>
            <w:r>
              <w:rPr>
                <w:rFonts w:eastAsia="Calibri"/>
              </w:rPr>
              <w:t xml:space="preserve"> системы видео-конференц-связи):</w:t>
            </w:r>
          </w:p>
        </w:tc>
        <w:tc>
          <w:tcPr>
            <w:tcW w:w="6766" w:type="dxa"/>
          </w:tcPr>
          <w:p w:rsidR="00E92ACD" w:rsidRDefault="00E92ACD">
            <w:pPr>
              <w:jc w:val="both"/>
              <w:rPr>
                <w:rFonts w:eastAsia="Calibri"/>
              </w:rPr>
            </w:pPr>
          </w:p>
          <w:p w:rsidR="00E92ACD" w:rsidRDefault="00723603">
            <w:pPr>
              <w:jc w:val="both"/>
            </w:pPr>
            <w:r>
              <w:rPr>
                <w:rFonts w:eastAsia="Calibri"/>
              </w:rPr>
              <w:t xml:space="preserve">            - </w:t>
            </w:r>
            <w:r>
              <w:rPr>
                <w:rFonts w:eastAsia="Calibri"/>
                <w:i/>
              </w:rPr>
              <w:t xml:space="preserve">от ИП </w:t>
            </w:r>
            <w:proofErr w:type="gramStart"/>
            <w:r>
              <w:rPr>
                <w:rFonts w:eastAsia="Calibri"/>
                <w:i/>
              </w:rPr>
              <w:t>Т</w:t>
            </w:r>
            <w:r w:rsidR="0011328F" w:rsidRPr="0011328F">
              <w:rPr>
                <w:lang w:eastAsia="ru-RU"/>
              </w:rPr>
              <w:t>&lt;</w:t>
            </w:r>
            <w:proofErr w:type="gramEnd"/>
            <w:r w:rsidR="0011328F" w:rsidRPr="0011328F">
              <w:rPr>
                <w:lang w:eastAsia="ru-RU"/>
              </w:rPr>
              <w:t>…&gt;</w:t>
            </w:r>
          </w:p>
          <w:p w:rsidR="00E92ACD" w:rsidRDefault="0072360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- </w:t>
            </w:r>
            <w:proofErr w:type="gramStart"/>
            <w:r>
              <w:rPr>
                <w:rFonts w:eastAsia="Calibri"/>
              </w:rPr>
              <w:t>К</w:t>
            </w:r>
            <w:r w:rsidR="0011328F" w:rsidRPr="0011328F">
              <w:rPr>
                <w:lang w:eastAsia="ru-RU"/>
              </w:rPr>
              <w:t>&lt;</w:t>
            </w:r>
            <w:proofErr w:type="gramEnd"/>
            <w:r w:rsidR="0011328F" w:rsidRPr="0011328F">
              <w:rPr>
                <w:lang w:eastAsia="ru-RU"/>
              </w:rPr>
              <w:t>…&gt;</w:t>
            </w:r>
            <w:r>
              <w:rPr>
                <w:rFonts w:eastAsia="Calibri"/>
              </w:rPr>
              <w:t>(доверенность от 24.09.2026),</w:t>
            </w:r>
          </w:p>
        </w:tc>
      </w:tr>
    </w:tbl>
    <w:p w:rsidR="00E92ACD" w:rsidRDefault="00E92ACD">
      <w:pPr>
        <w:tabs>
          <w:tab w:val="left" w:pos="3765"/>
        </w:tabs>
        <w:spacing w:line="240" w:lineRule="atLeast"/>
        <w:ind w:left="3828" w:right="-29" w:hanging="3828"/>
        <w:rPr>
          <w:lang w:eastAsia="ru-RU"/>
        </w:rPr>
      </w:pPr>
    </w:p>
    <w:p w:rsidR="00E92ACD" w:rsidRDefault="00723603">
      <w:pPr>
        <w:ind w:firstLine="709"/>
        <w:jc w:val="both"/>
      </w:pPr>
      <w:r>
        <w:rPr>
          <w:rFonts w:eastAsia="Calibri"/>
        </w:rPr>
        <w:t xml:space="preserve">по обращению ГУЗ «Центральная городская клиническая больница г. Ульяновска» (далее- </w:t>
      </w:r>
      <w:r>
        <w:rPr>
          <w:rFonts w:eastAsia="Calibri"/>
          <w:i/>
          <w:iCs/>
        </w:rPr>
        <w:t>заказчик</w:t>
      </w:r>
      <w:r>
        <w:rPr>
          <w:rFonts w:eastAsia="Calibri"/>
        </w:rPr>
        <w:t xml:space="preserve">) о включении сведений в отношении 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>…&gt;</w:t>
      </w:r>
      <w:r w:rsidR="0011328F">
        <w:rPr>
          <w:rFonts w:eastAsia="Calibri"/>
        </w:rPr>
        <w:t xml:space="preserve"> </w:t>
      </w:r>
      <w:r>
        <w:rPr>
          <w:rFonts w:eastAsia="Calibri"/>
        </w:rPr>
        <w:t xml:space="preserve">(далее- </w:t>
      </w:r>
      <w:r>
        <w:rPr>
          <w:rFonts w:eastAsia="Calibri"/>
          <w:i/>
          <w:iCs/>
        </w:rPr>
        <w:t>участник</w:t>
      </w:r>
      <w:r>
        <w:rPr>
          <w:rFonts w:eastAsia="Calibri"/>
        </w:rPr>
        <w:t xml:space="preserve">) в реестр недобросовестных поставщиков в связи с уклонением от заключения контракта на оказание услуг по техническому обслуживанию кислородного трубопровода (ЭА № </w:t>
      </w:r>
      <w:hyperlink r:id="rId7" w:tgtFrame="_blank">
        <w:r>
          <w:rPr>
            <w:rFonts w:eastAsia="Calibri"/>
          </w:rPr>
          <w:t>0168500000626002875</w:t>
        </w:r>
      </w:hyperlink>
      <w:r>
        <w:rPr>
          <w:rFonts w:eastAsia="Calibri"/>
        </w:rPr>
        <w:t>),</w:t>
      </w:r>
    </w:p>
    <w:p w:rsidR="00E92ACD" w:rsidRDefault="00E92ACD">
      <w:pPr>
        <w:jc w:val="center"/>
        <w:rPr>
          <w:rFonts w:eastAsia="Calibri"/>
        </w:rPr>
      </w:pPr>
    </w:p>
    <w:p w:rsidR="00E92ACD" w:rsidRDefault="00723603">
      <w:pPr>
        <w:jc w:val="center"/>
        <w:rPr>
          <w:b/>
          <w:lang w:eastAsia="ru-RU"/>
        </w:rPr>
      </w:pPr>
      <w:r>
        <w:rPr>
          <w:b/>
          <w:lang w:eastAsia="ru-RU"/>
        </w:rPr>
        <w:t>УСТАНОВИЛА:</w:t>
      </w:r>
    </w:p>
    <w:p w:rsidR="00E92ACD" w:rsidRDefault="00E92ACD">
      <w:pPr>
        <w:jc w:val="center"/>
        <w:rPr>
          <w:shd w:val="clear" w:color="auto" w:fill="FFFF00"/>
          <w:lang w:eastAsia="ru-RU"/>
        </w:rPr>
      </w:pPr>
    </w:p>
    <w:p w:rsidR="00E92ACD" w:rsidRDefault="00723603">
      <w:pPr>
        <w:ind w:firstLine="720"/>
        <w:jc w:val="both"/>
        <w:sectPr w:rsidR="00E92ACD">
          <w:footerReference w:type="default" r:id="rId8"/>
          <w:pgSz w:w="11906" w:h="16838"/>
          <w:pgMar w:top="1134" w:right="567" w:bottom="2082" w:left="1134" w:header="0" w:footer="1417" w:gutter="0"/>
          <w:cols w:space="720"/>
          <w:formProt w:val="0"/>
          <w:docGrid w:linePitch="312" w:charSpace="-6145"/>
        </w:sectPr>
      </w:pPr>
      <w:r>
        <w:rPr>
          <w:lang w:eastAsia="ru-RU"/>
        </w:rPr>
        <w:t>В единой информационной системе в сфере закупок (</w:t>
      </w:r>
      <w:hyperlink r:id="rId9">
        <w:r>
          <w:rPr>
            <w:lang w:eastAsia="ru-RU"/>
          </w:rPr>
          <w:t>www.zakupki.gov.ru</w:t>
        </w:r>
      </w:hyperlink>
      <w:r>
        <w:rPr>
          <w:lang w:eastAsia="ru-RU"/>
        </w:rPr>
        <w:t xml:space="preserve">) 03.09.2026 было опубликовано извещение о проведении электронного аукциона № </w:t>
      </w:r>
      <w:hyperlink r:id="rId10" w:tgtFrame="_blank">
        <w:r>
          <w:rPr>
            <w:rFonts w:eastAsia="Calibri"/>
          </w:rPr>
          <w:t>0168500000626002875</w:t>
        </w:r>
      </w:hyperlink>
      <w:r>
        <w:rPr>
          <w:lang w:eastAsia="ru-RU"/>
        </w:rPr>
        <w:t xml:space="preserve">, наименование объекта закупки – «Техническое обслуживание кислородного трубопровода» </w:t>
      </w:r>
    </w:p>
    <w:p w:rsidR="00E92ACD" w:rsidRDefault="00723603" w:rsidP="0011328F">
      <w:pPr>
        <w:jc w:val="both"/>
      </w:pPr>
      <w:r>
        <w:rPr>
          <w:lang w:eastAsia="ru-RU"/>
        </w:rPr>
        <w:lastRenderedPageBreak/>
        <w:t>(начальная (максимальная) цена контракта – 895 899,96</w:t>
      </w:r>
      <w:r>
        <w:rPr>
          <w:rFonts w:ascii="Roboto" w:hAnsi="Roboto"/>
          <w:color w:val="334059"/>
          <w:sz w:val="29"/>
          <w:szCs w:val="29"/>
          <w:shd w:val="clear" w:color="auto" w:fill="FFFFFF"/>
        </w:rPr>
        <w:t xml:space="preserve"> </w:t>
      </w:r>
      <w:r>
        <w:rPr>
          <w:lang w:eastAsia="ru-RU"/>
        </w:rPr>
        <w:t>руб.).</w:t>
      </w:r>
    </w:p>
    <w:p w:rsidR="00E92ACD" w:rsidRDefault="00723603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07.09.2026 заказчиком в ЕИС размещены изменения в извещение о проведении электронного аукциона и разъяснения положений извещения об осуществлении закупки. </w:t>
      </w:r>
    </w:p>
    <w:p w:rsidR="00E92ACD" w:rsidRDefault="00723603">
      <w:pPr>
        <w:ind w:firstLine="720"/>
        <w:jc w:val="both"/>
      </w:pPr>
      <w:r>
        <w:rPr>
          <w:lang w:eastAsia="ru-RU"/>
        </w:rPr>
        <w:t xml:space="preserve">В соответствии с протоколом </w:t>
      </w:r>
      <w:hyperlink r:id="rId11" w:tgtFrame="_blank">
        <w:r>
          <w:rPr>
            <w:lang w:eastAsia="ru-RU"/>
          </w:rPr>
          <w:t xml:space="preserve">подачи ценовых предложений от 11.09.2026 </w:t>
        </w:r>
      </w:hyperlink>
      <w:r>
        <w:rPr>
          <w:lang w:eastAsia="ru-RU"/>
        </w:rPr>
        <w:t>на участие в закупке поступило 2 заявки.</w:t>
      </w:r>
    </w:p>
    <w:p w:rsidR="00E92ACD" w:rsidRPr="0011328F" w:rsidRDefault="00723603">
      <w:pPr>
        <w:ind w:firstLine="720"/>
        <w:jc w:val="both"/>
      </w:pPr>
      <w:r>
        <w:rPr>
          <w:iCs/>
          <w:lang w:eastAsia="ru-RU"/>
        </w:rPr>
        <w:t xml:space="preserve">В соответствии с протоколом подведения итогов определения поставщика (подрядчика, исполнителя) от 11.09.2026 заявки всех участников были признаны соответствующими, определен победитель – </w:t>
      </w: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>…&gt;.</w:t>
      </w:r>
    </w:p>
    <w:p w:rsidR="00E92ACD" w:rsidRDefault="00723603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22.09.2026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 xml:space="preserve">был признан заказчиком уклонившимся от заключения контракта в связи с </w:t>
      </w:r>
      <w:proofErr w:type="spellStart"/>
      <w:r>
        <w:rPr>
          <w:lang w:eastAsia="ru-RU"/>
        </w:rPr>
        <w:t>ненаправлением</w:t>
      </w:r>
      <w:proofErr w:type="spellEnd"/>
      <w:r>
        <w:rPr>
          <w:lang w:eastAsia="ru-RU"/>
        </w:rPr>
        <w:t xml:space="preserve"> надлежащего обеспечения контракта.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6339-ЭП/26 от 23.09.2026 (дата поступления в ЕИС – 22.09.2026) в Ульяновское УФАС России поступило обращение </w:t>
      </w:r>
      <w:r>
        <w:rPr>
          <w:rFonts w:eastAsia="Calibri"/>
        </w:rPr>
        <w:t>ГУЗ «Центральная городская клиническая больница г. Ульяновска»</w:t>
      </w:r>
      <w:r>
        <w:rPr>
          <w:lang w:eastAsia="ru-RU"/>
        </w:rPr>
        <w:t xml:space="preserve"> о включении сведений в отношении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в реестр недобросовестных поставщиков.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>. № 6407-ЭП/26 от 24.09.2026 в Ульяновское УФАС России от ГУЗ «Центральная городская клиническая больница г. Ульяновска» поступили письменные пояснения с указанием хронологии событий с электронной площадки и предоставлением документов и сведений, подтверждающих факт надлежащей передачи и получения участником проекта контракта.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6436-ЭП/26 от 25.09.2026 в Ульяновское УФАС России от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поступили письменные пояснения, содержащие указание, в том числе на следующее.</w:t>
      </w:r>
    </w:p>
    <w:p w:rsidR="00E92ACD" w:rsidRDefault="00723603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Т</w:t>
      </w:r>
      <w:r w:rsidR="00700032" w:rsidRPr="0011328F">
        <w:rPr>
          <w:lang w:eastAsia="ru-RU"/>
        </w:rPr>
        <w:t>&lt;</w:t>
      </w:r>
      <w:proofErr w:type="gramEnd"/>
      <w:r w:rsidR="00700032" w:rsidRPr="0011328F">
        <w:rPr>
          <w:lang w:eastAsia="ru-RU"/>
        </w:rPr>
        <w:t>…&gt;</w:t>
      </w:r>
      <w:r w:rsidR="00700032">
        <w:rPr>
          <w:lang w:eastAsia="ru-RU"/>
        </w:rPr>
        <w:t xml:space="preserve"> </w:t>
      </w:r>
      <w:bookmarkStart w:id="0" w:name="_GoBack"/>
      <w:bookmarkEnd w:id="0"/>
      <w:r>
        <w:rPr>
          <w:lang w:eastAsia="ru-RU"/>
        </w:rPr>
        <w:t xml:space="preserve">не имел умысла на уклонение от заключения контракта, данное обстоятельство произошло ввиду человеческого фактора. Участник не предоставил надлежащее обеспечение исполнения контракта в связи c ошибкой, допущенной специалистом, на которого была возложена ответственность за участие в данной закупке: подписание проекта контракта, предоставление необходимой документации. В ввиду высокой рабочей загруженности и последовавшей за ней низкой трудовой внимательности, специалист ошибочно приложил проект банковской гарантии.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 xml:space="preserve">обладает всеми необходимыми ресурсами и имеет возможность и желание исполнить контракт. Учитывая изложенное,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просит Комиссию Ульяновского УФАС России сведения в отношении предпринимателя в реестр недобросовестных поставщиков не включать.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</w:pPr>
      <w:r>
        <w:rPr>
          <w:lang w:eastAsia="ru-RU"/>
        </w:rPr>
        <w:t xml:space="preserve">На заседании Комиссии 25.09.2026, которое проходило в дистанционном режиме, представитель заказчика поддержал направленное обращение, представитель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поддержал доводы, отраженные в письменных пояснениях.  В рассмотрении обращения объявлялся перерыв до 13 час. 30 мин. 29.09.2026 для документального анализа материалов дела.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6482-ЭП/26 от 28.09.2026 в Ульяновское УФАС России от ГУЗ «Центральная городская клиническая больница г. Ульяновска» поступили письменные пояснения о заключении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контрактов (договоров).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6483-ЭП/26 от 28.09.2026 и </w:t>
      </w: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6524-ЭП/26 от 29.09.2026 в Ульяновское УФАС России от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поступили дополнительные письменные пояснения, содержащие указание, в том числе на то, что предприниматель занимается ремонтом оборудования и у него имеется необходимое для этих работ оборудование.</w:t>
      </w:r>
    </w:p>
    <w:p w:rsidR="00E92ACD" w:rsidRDefault="00E92ACD">
      <w:pPr>
        <w:ind w:firstLine="720"/>
        <w:jc w:val="both"/>
        <w:rPr>
          <w:lang w:eastAsia="ru-RU"/>
        </w:rPr>
      </w:pPr>
    </w:p>
    <w:p w:rsidR="00E92ACD" w:rsidRDefault="00723603">
      <w:pPr>
        <w:ind w:firstLine="720"/>
        <w:jc w:val="both"/>
      </w:pPr>
      <w:r>
        <w:rPr>
          <w:lang w:eastAsia="ru-RU"/>
        </w:rPr>
        <w:t xml:space="preserve">Рассмотрев имеющиеся материалы, Комиссия решила сведения в отношении ИП </w:t>
      </w:r>
      <w:proofErr w:type="gramStart"/>
      <w:r>
        <w:rPr>
          <w:lang w:eastAsia="ru-RU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>…&gt;</w:t>
      </w:r>
      <w:r>
        <w:rPr>
          <w:lang w:eastAsia="ru-RU"/>
        </w:rPr>
        <w:t xml:space="preserve"> в реестр недобросовестных поставщиков не включать.  При этом Комиссия исходила из следующего.</w:t>
      </w:r>
    </w:p>
    <w:p w:rsidR="00E92ACD" w:rsidRDefault="00E92ACD">
      <w:pPr>
        <w:spacing w:line="256" w:lineRule="auto"/>
        <w:ind w:firstLine="709"/>
        <w:jc w:val="both"/>
        <w:rPr>
          <w:rFonts w:eastAsia="Calibri"/>
        </w:rPr>
      </w:pPr>
    </w:p>
    <w:p w:rsidR="00E92ACD" w:rsidRDefault="00723603">
      <w:pPr>
        <w:ind w:firstLine="709"/>
        <w:jc w:val="both"/>
      </w:pPr>
      <w:r>
        <w:rPr>
          <w:lang w:eastAsia="ru-RU"/>
        </w:rPr>
        <w:t xml:space="preserve">Согласно части 2 статьи 51 Закона о контрактной системе не позднее двух рабочих дней, </w:t>
      </w:r>
      <w:r>
        <w:rPr>
          <w:lang w:eastAsia="ru-RU"/>
        </w:rPr>
        <w:lastRenderedPageBreak/>
        <w:t xml:space="preserve">следующих за днем размещения в единой информационной системе протоколов, указанных в </w:t>
      </w:r>
      <w:hyperlink r:id="rId12">
        <w:r>
          <w:rPr>
            <w:lang w:eastAsia="ru-RU"/>
          </w:rPr>
          <w:t>части 1</w:t>
        </w:r>
      </w:hyperlink>
      <w:r>
        <w:rPr>
          <w:lang w:eastAsia="ru-RU"/>
        </w:rPr>
        <w:t xml:space="preserve"> статьи 51 Закона о контрактной системе,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</w:t>
      </w:r>
      <w:hyperlink r:id="rId13">
        <w:r>
          <w:rPr>
            <w:lang w:eastAsia="ru-RU"/>
          </w:rPr>
          <w:t>пункте 5 части 2 статьи 42</w:t>
        </w:r>
      </w:hyperlink>
      <w:r>
        <w:rPr>
          <w:lang w:eastAsia="ru-RU"/>
        </w:rPr>
        <w:t xml:space="preserve"> Закона о контрактной системе.</w:t>
      </w:r>
    </w:p>
    <w:p w:rsidR="00E92ACD" w:rsidRPr="0011328F" w:rsidRDefault="00723603">
      <w:pPr>
        <w:ind w:firstLine="709"/>
        <w:jc w:val="both"/>
      </w:pPr>
      <w:r>
        <w:rPr>
          <w:b/>
          <w:bCs/>
          <w:i/>
          <w:iCs/>
        </w:rPr>
        <w:t>14.09.2026</w:t>
      </w:r>
      <w:r>
        <w:t xml:space="preserve"> </w:t>
      </w:r>
      <w:r>
        <w:rPr>
          <w:rFonts w:eastAsia="Calibri"/>
        </w:rPr>
        <w:t>ГУЗ «Центральная городская клиническая больница г. Ульяновска</w:t>
      </w:r>
      <w:r>
        <w:t xml:space="preserve"> был направлен проект контракта для подписания </w:t>
      </w:r>
      <w:r>
        <w:rPr>
          <w:rFonts w:eastAsia="Calibri"/>
        </w:rPr>
        <w:t xml:space="preserve">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>…&gt;.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Согласно части 3 статьи 51 Закона о контрактной системе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осуществляет одно из следующих действий:</w:t>
      </w:r>
    </w:p>
    <w:p w:rsidR="00E92ACD" w:rsidRDefault="00723603">
      <w:pPr>
        <w:ind w:firstLine="709"/>
        <w:jc w:val="both"/>
      </w:pPr>
      <w:r>
        <w:rPr>
          <w:rFonts w:eastAsia="Calibri"/>
        </w:rPr>
        <w:t xml:space="preserve"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</w:t>
      </w:r>
      <w:r>
        <w:rPr>
          <w:rFonts w:eastAsia="Calibri"/>
          <w:u w:val="single"/>
        </w:rPr>
        <w:t>а также документ, подтверждающий предоставление обеспечения исполнения контракта</w:t>
      </w:r>
      <w:r>
        <w:rPr>
          <w:rFonts w:eastAsia="Calibri"/>
        </w:rPr>
        <w:t xml:space="preserve"> в соответствии с Законом о контрактной системе (за исключением случаев, предусмотренных настоящим Законом о контрактной системе).  При этом такой участник закупки: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а) в случаях, предусмотренных статьей 37 Закона о контрактной системе, одновременно представляет заказчику информацию и документы, предусмотренные указанной статьей;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а) наличие разногласий в отношении информации, включенной в проект контракта в соответствии с пунктом 1 части 2 статьи 51 Закона о контрактной системе,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б) несогласие заключить контракт, содержащий условия, предусмотренные пунктом 2 части 2 статьи 51 Закона о контрактной системе;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:rsidR="00E92ACD" w:rsidRDefault="00723603">
      <w:pPr>
        <w:ind w:firstLine="709"/>
        <w:jc w:val="both"/>
      </w:pPr>
      <w:r>
        <w:rPr>
          <w:rFonts w:eastAsia="Calibri"/>
        </w:rPr>
        <w:t xml:space="preserve">В данном случае регламентированный срок подписания контракта для участника закупки был установлен – </w:t>
      </w:r>
      <w:r>
        <w:rPr>
          <w:rFonts w:eastAsia="Calibri"/>
          <w:b/>
          <w:bCs/>
          <w:i/>
        </w:rPr>
        <w:t>21.09.2026 в 23 час. 59 мин. (МСК)</w:t>
      </w:r>
      <w:r>
        <w:rPr>
          <w:rFonts w:eastAsia="Calibri"/>
          <w:b/>
        </w:rPr>
        <w:t>.</w:t>
      </w:r>
    </w:p>
    <w:p w:rsidR="00E92ACD" w:rsidRDefault="00723603">
      <w:pPr>
        <w:ind w:firstLine="709"/>
        <w:jc w:val="both"/>
      </w:pPr>
      <w:r>
        <w:rPr>
          <w:rFonts w:eastAsia="Calibri"/>
        </w:rPr>
        <w:t>В силу части 3 статьи 96 Закона о контрактной системе исполнение контракта, гарантийные обязательства могут обеспечиваться предоставлением независимой гарантии, соответствующей требованиям статьи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гарантийных обязательств, срок действия независимой гарантии определяются в соответствии с требованиями Закона о контрактной системе участником закупки, с которым заключается контракт, самостоятельно.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>В соответствии с частью 4 статьи 96 Закона о контрак</w:t>
      </w:r>
      <w:r w:rsidR="00334F3E">
        <w:rPr>
          <w:rFonts w:eastAsia="Calibri"/>
        </w:rPr>
        <w:t>тной системе контракт заключает</w:t>
      </w:r>
      <w:r>
        <w:rPr>
          <w:rFonts w:eastAsia="Calibri"/>
        </w:rPr>
        <w:t xml:space="preserve">ся </w:t>
      </w:r>
      <w:r>
        <w:rPr>
          <w:rFonts w:eastAsia="Calibri"/>
        </w:rPr>
        <w:lastRenderedPageBreak/>
        <w:t>после предоставления участником закупки, с которым заключается контракт, обеспечения исполнения контракта в соответствии с Законом о контрактной системе.</w:t>
      </w:r>
    </w:p>
    <w:p w:rsidR="00E92ACD" w:rsidRDefault="00723603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соответствии с частью 5 статьи 96 Закона о контрактной системе в случае </w:t>
      </w:r>
      <w:proofErr w:type="spellStart"/>
      <w:r>
        <w:rPr>
          <w:rFonts w:eastAsia="Calibri"/>
        </w:rPr>
        <w:t>непредоставления</w:t>
      </w:r>
      <w:proofErr w:type="spellEnd"/>
      <w:r>
        <w:rPr>
          <w:rFonts w:eastAsia="Calibri"/>
        </w:rPr>
        <w:t xml:space="preserve">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контракта.</w:t>
      </w:r>
    </w:p>
    <w:p w:rsidR="00E92ACD" w:rsidRDefault="00723603">
      <w:pPr>
        <w:ind w:firstLine="709"/>
        <w:jc w:val="both"/>
      </w:pPr>
      <w:r>
        <w:rPr>
          <w:rFonts w:eastAsia="Calibri"/>
        </w:rPr>
        <w:t xml:space="preserve">Подписанный 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>…&gt;</w:t>
      </w:r>
      <w:r>
        <w:rPr>
          <w:rFonts w:eastAsia="Calibri"/>
        </w:rPr>
        <w:t xml:space="preserve"> </w:t>
      </w:r>
      <w:r>
        <w:rPr>
          <w:rFonts w:eastAsia="Calibri"/>
          <w:b/>
          <w:i/>
          <w:iCs/>
        </w:rPr>
        <w:t>14.09.2026</w:t>
      </w:r>
      <w:r>
        <w:rPr>
          <w:rFonts w:eastAsia="Calibri"/>
        </w:rPr>
        <w:t xml:space="preserve"> контракт в качестве обеспечения исполнения контракта содержал такой вариант обеспечения обязательств как независимая гарантия, при этом проект контракта независимую гарантию, оформленную надлежащим образом, не содержал, что не соответствует требованиям законодательства. </w:t>
      </w:r>
    </w:p>
    <w:p w:rsidR="00E92ACD" w:rsidRDefault="00723603">
      <w:pPr>
        <w:ind w:firstLine="709"/>
        <w:jc w:val="both"/>
      </w:pPr>
      <w:r>
        <w:rPr>
          <w:b/>
          <w:bCs/>
          <w:i/>
        </w:rPr>
        <w:t>22.09.2026</w:t>
      </w:r>
      <w:r>
        <w:rPr>
          <w:b/>
          <w:bCs/>
          <w:i/>
          <w:iCs/>
        </w:rPr>
        <w:t xml:space="preserve"> </w:t>
      </w:r>
      <w:r>
        <w:rPr>
          <w:rFonts w:eastAsia="Calibri"/>
        </w:rPr>
        <w:t xml:space="preserve">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t xml:space="preserve">было признано заказчиком уклонившимся от заключения контракта в связи с </w:t>
      </w:r>
      <w:proofErr w:type="spellStart"/>
      <w:r>
        <w:t>ненаправлением</w:t>
      </w:r>
      <w:proofErr w:type="spellEnd"/>
      <w:r>
        <w:t xml:space="preserve"> в регламентированный срок </w:t>
      </w:r>
      <w:r>
        <w:rPr>
          <w:lang w:eastAsia="ru-RU"/>
        </w:rPr>
        <w:t>надлежащего обеспечения контракта.</w:t>
      </w:r>
    </w:p>
    <w:p w:rsidR="00E92ACD" w:rsidRDefault="00E92ACD">
      <w:pPr>
        <w:ind w:firstLine="709"/>
        <w:jc w:val="both"/>
        <w:rPr>
          <w:lang w:eastAsia="ru-RU"/>
        </w:rPr>
      </w:pPr>
    </w:p>
    <w:p w:rsidR="00E92ACD" w:rsidRDefault="00723603">
      <w:pPr>
        <w:ind w:firstLine="709"/>
        <w:jc w:val="both"/>
      </w:pPr>
      <w:r>
        <w:rPr>
          <w:i/>
          <w:lang w:eastAsia="ru-RU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</w:t>
      </w:r>
      <w:r>
        <w:rPr>
          <w:lang w:eastAsia="ru-RU"/>
        </w:rPr>
        <w:t>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E92ACD" w:rsidRDefault="00723603">
      <w:pPr>
        <w:ind w:firstLine="709"/>
        <w:jc w:val="both"/>
        <w:rPr>
          <w:lang w:eastAsia="ru-RU"/>
        </w:rPr>
      </w:pPr>
      <w:r>
        <w:rPr>
          <w:lang w:eastAsia="ru-RU"/>
        </w:rPr>
        <w:t>Вместе с тем, включение сведений в реестр недобросовестных поставщиков является санкцией за недобросовестное поведение участника закупки, выражающееся в намеренном уклонении от подписания контракта.</w:t>
      </w:r>
    </w:p>
    <w:p w:rsidR="00E92ACD" w:rsidRDefault="00723603">
      <w:pPr>
        <w:ind w:firstLine="709"/>
        <w:jc w:val="both"/>
        <w:rPr>
          <w:lang w:eastAsia="ru-RU"/>
        </w:rPr>
      </w:pPr>
      <w:r>
        <w:rPr>
          <w:lang w:eastAsia="ru-RU"/>
        </w:rPr>
        <w:t>Размещение сведений об участнике закупки в реестре недобросовестных поставщиков осуществляется лишь в случае, если антимонопольный орган в результате проведенной проверки установит факт недобросовестного уклонения участника закупки от подписания контракта.</w:t>
      </w:r>
    </w:p>
    <w:p w:rsidR="00E92ACD" w:rsidRDefault="00723603">
      <w:pPr>
        <w:ind w:firstLine="709"/>
        <w:jc w:val="both"/>
        <w:rPr>
          <w:lang w:eastAsia="ru-RU"/>
        </w:rPr>
      </w:pPr>
      <w:r>
        <w:rPr>
          <w:lang w:eastAsia="ru-RU"/>
        </w:rPr>
        <w:t>При этом ни Закон о контрактной системе, ни Правила ведения реестра недобросовестных поставщиков (подрядчиков, исполнителей), утвержденные постановлением Правительства Российской Федерации от 30.06.2021 № 1078, не содержат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случае.</w:t>
      </w:r>
    </w:p>
    <w:p w:rsidR="00E92ACD" w:rsidRDefault="00723603">
      <w:pPr>
        <w:ind w:firstLine="709"/>
        <w:jc w:val="both"/>
        <w:rPr>
          <w:lang w:eastAsia="ru-RU"/>
        </w:rPr>
      </w:pPr>
      <w:r>
        <w:rPr>
          <w:lang w:eastAsia="ru-RU"/>
        </w:rPr>
        <w:t>Под недобросовестностью понимается совершение умышленных действий, направленных на уклонение от подписания контракта.</w:t>
      </w:r>
    </w:p>
    <w:p w:rsidR="00E92ACD" w:rsidRDefault="00723603">
      <w:pPr>
        <w:ind w:firstLine="709"/>
        <w:jc w:val="both"/>
      </w:pPr>
      <w:r>
        <w:t>В соответствии с пунктом 14 Правил ведения реестра недобросовестных поставщиков (подрядчиков, исполнителей), утвержденных постановлением Правительства Российской Федерации от 30.06.2021 №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Правил, выявлено хотя бы одно из следующих обстоятельств:</w:t>
      </w:r>
      <w:bookmarkStart w:id="1" w:name="l370"/>
    </w:p>
    <w:p w:rsidR="00E92ACD" w:rsidRDefault="00723603">
      <w:pPr>
        <w:ind w:firstLine="709"/>
        <w:jc w:val="both"/>
      </w:pPr>
      <w:r>
        <w:t>а)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требования:</w:t>
      </w:r>
      <w:bookmarkStart w:id="2" w:name="l482"/>
    </w:p>
    <w:p w:rsidR="00E92ACD" w:rsidRDefault="00723603">
      <w:pPr>
        <w:ind w:firstLine="709"/>
        <w:jc w:val="both"/>
      </w:pPr>
      <w:r>
        <w:t>- к определению такого участника закупки лицом, с которым заключается контракт;</w:t>
      </w:r>
      <w:bookmarkStart w:id="3" w:name="l449"/>
    </w:p>
    <w:p w:rsidR="00E92ACD" w:rsidRDefault="00723603">
      <w:pPr>
        <w:ind w:firstLine="709"/>
        <w:jc w:val="both"/>
      </w:pPr>
      <w:r>
        <w:t>- 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E92ACD" w:rsidRDefault="00723603">
      <w:pPr>
        <w:ind w:firstLine="709"/>
        <w:jc w:val="both"/>
      </w:pPr>
      <w:r>
        <w:t>б)</w:t>
      </w:r>
      <w:r>
        <w:rPr>
          <w:i/>
        </w:rPr>
        <w:t xml:space="preserve"> участником закупки в срок до признания его в соответствии с Федеральным </w:t>
      </w:r>
      <w:hyperlink r:id="rId14" w:anchor="_blank" w:history="1">
        <w:r>
          <w:rPr>
            <w:rStyle w:val="a3"/>
            <w:i/>
            <w:u w:val="none"/>
            <w:lang w:eastAsia="en-US" w:bidi="ar-SA"/>
          </w:rPr>
          <w:t>законом</w:t>
        </w:r>
      </w:hyperlink>
      <w:r>
        <w:rPr>
          <w:i/>
        </w:rPr>
        <w:t> уклонившимся от заключения контракта осуществлены действия, свидетельствующие об отсутствии намерения уклониться от заключения контракта</w:t>
      </w:r>
      <w:r>
        <w:t>;</w:t>
      </w:r>
      <w:bookmarkStart w:id="4" w:name="l371"/>
    </w:p>
    <w:p w:rsidR="00E92ACD" w:rsidRDefault="00723603">
      <w:pPr>
        <w:ind w:firstLine="709"/>
        <w:jc w:val="both"/>
      </w:pPr>
      <w:r>
        <w:t>в) участником закупки не выполнены требования, предусмотренные Федеральным </w:t>
      </w:r>
      <w:hyperlink r:id="rId15" w:anchor="_blank" w:history="1">
        <w:r>
          <w:rPr>
            <w:rStyle w:val="a3"/>
            <w:u w:val="none"/>
            <w:lang w:eastAsia="en-US" w:bidi="ar-SA"/>
          </w:rPr>
          <w:t>законом</w:t>
        </w:r>
      </w:hyperlink>
      <w:r>
        <w:t xml:space="preserve"> для заключения контракта, вследствие обстоятельств непреодолимой силы, то есть чрезвычайных и непредотвратимых при данных условиях обстоятельств, в том числе в связи с мобилизацией в Российской Федерации, введением политических или экономических санкций иностранными государствами, совершающими недружественные действия в отношении Российской </w:t>
      </w:r>
      <w:r>
        <w:lastRenderedPageBreak/>
        <w:t>Федерации, граждан Российской Федерации или российских юридических лиц (далее - санкции),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(далее - меры ограничительного характера).  К таким обстоятельствам не относится невыполнение требований, предусмотренных Федеральным </w:t>
      </w:r>
      <w:hyperlink r:id="rId16" w:anchor="_blank" w:history="1">
        <w:r>
          <w:rPr>
            <w:rStyle w:val="a3"/>
            <w:u w:val="none"/>
            <w:lang w:eastAsia="en-US" w:bidi="ar-SA"/>
          </w:rPr>
          <w:t>законом</w:t>
        </w:r>
      </w:hyperlink>
      <w:r>
        <w:t> для заключения контракта, по причине введения санкций и (или) мер ограничительного характера в отношении заказчика</w:t>
      </w:r>
    </w:p>
    <w:p w:rsidR="00E92ACD" w:rsidRDefault="00723603">
      <w:pPr>
        <w:ind w:firstLine="709"/>
        <w:jc w:val="both"/>
      </w:pPr>
      <w:r>
        <w:rPr>
          <w:lang w:eastAsia="ru-RU"/>
        </w:rPr>
        <w:t xml:space="preserve">В данном случае Комиссия Ульяновского УФАС России не может ограничиваться формальным установлением факта нарушения законодательства о контрактной системе, поскольку из анализа материалов дела следует, что у </w:t>
      </w:r>
      <w:r>
        <w:rPr>
          <w:rFonts w:eastAsia="Calibri"/>
        </w:rPr>
        <w:t xml:space="preserve">ИП </w:t>
      </w:r>
      <w:proofErr w:type="gramStart"/>
      <w:r>
        <w:rPr>
          <w:rFonts w:eastAsia="Calibri"/>
        </w:rPr>
        <w:t>Т</w:t>
      </w:r>
      <w:r w:rsidR="00334F3E" w:rsidRPr="00334F3E">
        <w:rPr>
          <w:kern w:val="0"/>
          <w:lang w:eastAsia="ru-RU"/>
        </w:rPr>
        <w:t>&lt;</w:t>
      </w:r>
      <w:proofErr w:type="gramEnd"/>
      <w:r w:rsidR="00334F3E" w:rsidRPr="00334F3E">
        <w:rPr>
          <w:kern w:val="0"/>
          <w:lang w:eastAsia="ru-RU"/>
        </w:rPr>
        <w:t>…&gt;</w:t>
      </w:r>
      <w:r w:rsidR="00334F3E">
        <w:rPr>
          <w:kern w:val="0"/>
          <w:lang w:eastAsia="ru-RU"/>
        </w:rPr>
        <w:t xml:space="preserve"> </w:t>
      </w:r>
      <w:r>
        <w:rPr>
          <w:lang w:eastAsia="ru-RU"/>
        </w:rPr>
        <w:t xml:space="preserve">отсутствовало намерение уклоняться от надлежащего исполнения требований законодательства, и </w:t>
      </w:r>
      <w:r>
        <w:t xml:space="preserve">из анализа материалов дела следует, что </w:t>
      </w:r>
      <w:proofErr w:type="spellStart"/>
      <w:r>
        <w:t>непредоставление</w:t>
      </w:r>
      <w:proofErr w:type="spellEnd"/>
      <w:r>
        <w:t xml:space="preserve"> надлежащего обеспечения исполнения контракта со стороны предпринимателя связано с ошибкой специалиста. Также </w:t>
      </w:r>
      <w:r>
        <w:rPr>
          <w:rFonts w:eastAsia="Calibri"/>
        </w:rPr>
        <w:t xml:space="preserve">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представил подтверждение возможности оказания услуг по техническому обслуживанию оборудования заказчика.</w:t>
      </w:r>
    </w:p>
    <w:p w:rsidR="00E92ACD" w:rsidRDefault="00723603">
      <w:pPr>
        <w:ind w:firstLine="709"/>
        <w:jc w:val="both"/>
      </w:pPr>
      <w:r>
        <w:rPr>
          <w:lang w:eastAsia="ru-RU"/>
        </w:rPr>
        <w:t xml:space="preserve">Таким образом, Комиссия антимонопольного органа пришла к выводу, что в указанных обстоятельствах включение сведений об </w:t>
      </w:r>
      <w:r>
        <w:rPr>
          <w:rFonts w:eastAsia="Calibri"/>
        </w:rPr>
        <w:t xml:space="preserve">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в реестр не может рассматриваться в качестве необходимой меры ответственности и является несоразмерным характеру допущенного нарушения.</w:t>
      </w:r>
    </w:p>
    <w:p w:rsidR="00E92ACD" w:rsidRDefault="00723603">
      <w:pPr>
        <w:ind w:firstLine="709"/>
        <w:jc w:val="both"/>
      </w:pPr>
      <w:r>
        <w:rPr>
          <w:lang w:eastAsia="ru-RU"/>
        </w:rPr>
        <w:t xml:space="preserve">Учитывая изложенное, Комиссией Ульяновского УФАС России принято решение, сведения в отношении </w:t>
      </w:r>
      <w:r>
        <w:rPr>
          <w:rFonts w:eastAsia="Calibri"/>
        </w:rPr>
        <w:t xml:space="preserve">ИП </w:t>
      </w:r>
      <w:proofErr w:type="gramStart"/>
      <w:r>
        <w:rPr>
          <w:rFonts w:eastAsia="Calibri"/>
        </w:rPr>
        <w:t>Т</w:t>
      </w:r>
      <w:r w:rsidR="0011328F" w:rsidRPr="0011328F">
        <w:rPr>
          <w:lang w:eastAsia="ru-RU"/>
        </w:rPr>
        <w:t>&lt;</w:t>
      </w:r>
      <w:proofErr w:type="gramEnd"/>
      <w:r w:rsidR="0011328F" w:rsidRPr="0011328F">
        <w:rPr>
          <w:lang w:eastAsia="ru-RU"/>
        </w:rPr>
        <w:t xml:space="preserve">…&gt; </w:t>
      </w:r>
      <w:r>
        <w:rPr>
          <w:lang w:eastAsia="ru-RU"/>
        </w:rPr>
        <w:t>в реестр недобросовестных поставщиков не включать.</w:t>
      </w:r>
    </w:p>
    <w:p w:rsidR="00E92ACD" w:rsidRDefault="00E92ACD">
      <w:pPr>
        <w:ind w:firstLine="709"/>
        <w:jc w:val="both"/>
        <w:rPr>
          <w:lang w:eastAsia="ru-RU"/>
        </w:rPr>
      </w:pPr>
    </w:p>
    <w:p w:rsidR="00E92ACD" w:rsidRDefault="00723603">
      <w:pPr>
        <w:ind w:firstLine="709"/>
        <w:jc w:val="both"/>
        <w:rPr>
          <w:lang w:eastAsia="ru-RU"/>
        </w:rPr>
      </w:pPr>
      <w:r>
        <w:rPr>
          <w:lang w:eastAsia="ru-RU"/>
        </w:rPr>
        <w:t>Руководствуясь подпунктом «б» пункта 14 Правил ведения реестра недобросовестных поставщиков (подрядчиков, исполнителей), утвержденных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 статьей 104 Закона о контрактной системе, Комиссия</w:t>
      </w:r>
    </w:p>
    <w:p w:rsidR="00E92ACD" w:rsidRDefault="00723603">
      <w:pPr>
        <w:spacing w:before="120" w:line="256" w:lineRule="auto"/>
        <w:jc w:val="center"/>
        <w:rPr>
          <w:b/>
        </w:rPr>
      </w:pPr>
      <w:r>
        <w:rPr>
          <w:b/>
        </w:rPr>
        <w:t>РЕШИЛА:</w:t>
      </w:r>
    </w:p>
    <w:p w:rsidR="00E92ACD" w:rsidRDefault="00E92ACD">
      <w:pPr>
        <w:spacing w:before="120" w:line="256" w:lineRule="auto"/>
        <w:jc w:val="center"/>
      </w:pPr>
    </w:p>
    <w:p w:rsidR="00E92ACD" w:rsidRDefault="00723603">
      <w:pPr>
        <w:ind w:firstLine="709"/>
        <w:jc w:val="both"/>
      </w:pPr>
      <w:r>
        <w:t xml:space="preserve">Сведения в отношении </w:t>
      </w:r>
      <w:r>
        <w:rPr>
          <w:shd w:val="clear" w:color="auto" w:fill="FFFFFF"/>
        </w:rPr>
        <w:t xml:space="preserve">индивидуального предпринимателя </w:t>
      </w:r>
      <w:proofErr w:type="gramStart"/>
      <w:r>
        <w:rPr>
          <w:rFonts w:eastAsia="Calibri"/>
        </w:rPr>
        <w:t>Т</w:t>
      </w:r>
      <w:r w:rsidR="00334F3E" w:rsidRPr="00334F3E">
        <w:rPr>
          <w:kern w:val="0"/>
          <w:lang w:eastAsia="ru-RU"/>
        </w:rPr>
        <w:t>&lt;</w:t>
      </w:r>
      <w:proofErr w:type="gramEnd"/>
      <w:r w:rsidR="00334F3E" w:rsidRPr="00334F3E">
        <w:rPr>
          <w:kern w:val="0"/>
          <w:lang w:eastAsia="ru-RU"/>
        </w:rPr>
        <w:t>…&gt;</w:t>
      </w:r>
      <w:r w:rsidR="00334F3E">
        <w:t xml:space="preserve"> </w:t>
      </w:r>
      <w:r>
        <w:t xml:space="preserve">(адрес: </w:t>
      </w:r>
      <w:r w:rsidR="00334F3E" w:rsidRPr="00334F3E">
        <w:rPr>
          <w:kern w:val="0"/>
          <w:lang w:eastAsia="ru-RU"/>
        </w:rPr>
        <w:t>&lt;…&gt;</w:t>
      </w:r>
      <w:r>
        <w:t xml:space="preserve">; ИНН </w:t>
      </w:r>
      <w:r w:rsidR="00334F3E" w:rsidRPr="00334F3E">
        <w:rPr>
          <w:kern w:val="0"/>
          <w:lang w:eastAsia="ru-RU"/>
        </w:rPr>
        <w:t>&lt;…&gt;</w:t>
      </w:r>
      <w:r>
        <w:t>) в реестр недобросовестных поставщиков не включать.</w:t>
      </w:r>
    </w:p>
    <w:p w:rsidR="00E92ACD" w:rsidRDefault="00E92ACD">
      <w:pPr>
        <w:spacing w:line="240" w:lineRule="atLeast"/>
        <w:ind w:firstLine="708"/>
        <w:jc w:val="both"/>
      </w:pPr>
    </w:p>
    <w:p w:rsidR="00E92ACD" w:rsidRDefault="00E92ACD">
      <w:pPr>
        <w:spacing w:line="240" w:lineRule="atLeast"/>
        <w:ind w:firstLine="708"/>
        <w:jc w:val="both"/>
      </w:pPr>
    </w:p>
    <w:tbl>
      <w:tblPr>
        <w:tblW w:w="10200" w:type="dxa"/>
        <w:tblLayout w:type="fixed"/>
        <w:tblLook w:val="0000" w:firstRow="0" w:lastRow="0" w:firstColumn="0" w:lastColumn="0" w:noHBand="0" w:noVBand="0"/>
      </w:tblPr>
      <w:tblGrid>
        <w:gridCol w:w="5490"/>
        <w:gridCol w:w="4710"/>
      </w:tblGrid>
      <w:tr w:rsidR="00E92ACD">
        <w:trPr>
          <w:trHeight w:val="249"/>
        </w:trPr>
        <w:tc>
          <w:tcPr>
            <w:tcW w:w="5490" w:type="dxa"/>
          </w:tcPr>
          <w:p w:rsidR="00E92ACD" w:rsidRDefault="00723603">
            <w:pPr>
              <w:spacing w:line="288" w:lineRule="auto"/>
              <w:ind w:firstLine="624"/>
              <w:jc w:val="both"/>
            </w:pPr>
            <w:r>
              <w:t>Председатель Комиссии:</w:t>
            </w:r>
          </w:p>
        </w:tc>
        <w:tc>
          <w:tcPr>
            <w:tcW w:w="4710" w:type="dxa"/>
          </w:tcPr>
          <w:p w:rsidR="00E92ACD" w:rsidRDefault="00723603">
            <w:pPr>
              <w:spacing w:line="288" w:lineRule="auto"/>
            </w:pPr>
            <w:r>
              <w:t xml:space="preserve">                                             </w:t>
            </w:r>
            <w:r w:rsidR="00334F3E">
              <w:rPr>
                <w:kern w:val="0"/>
                <w:lang w:val="en-US" w:eastAsia="ru-RU"/>
              </w:rPr>
              <w:t>&lt;…&gt;</w:t>
            </w:r>
          </w:p>
        </w:tc>
      </w:tr>
      <w:tr w:rsidR="00E92ACD">
        <w:trPr>
          <w:trHeight w:val="1247"/>
        </w:trPr>
        <w:tc>
          <w:tcPr>
            <w:tcW w:w="5490" w:type="dxa"/>
          </w:tcPr>
          <w:p w:rsidR="00E92ACD" w:rsidRDefault="00E92ACD">
            <w:pPr>
              <w:spacing w:line="288" w:lineRule="auto"/>
              <w:jc w:val="both"/>
            </w:pPr>
          </w:p>
          <w:p w:rsidR="00E92ACD" w:rsidRDefault="00723603">
            <w:pPr>
              <w:spacing w:line="288" w:lineRule="auto"/>
              <w:ind w:firstLine="680"/>
              <w:jc w:val="both"/>
            </w:pPr>
            <w:r>
              <w:t>Члены Комиссии:</w:t>
            </w:r>
          </w:p>
        </w:tc>
        <w:tc>
          <w:tcPr>
            <w:tcW w:w="4710" w:type="dxa"/>
          </w:tcPr>
          <w:p w:rsidR="00E92ACD" w:rsidRDefault="00723603">
            <w:pPr>
              <w:spacing w:line="288" w:lineRule="auto"/>
              <w:ind w:left="2699"/>
            </w:pPr>
            <w:r>
              <w:t xml:space="preserve">                                                                                    </w:t>
            </w:r>
            <w:r w:rsidR="00334F3E">
              <w:rPr>
                <w:kern w:val="0"/>
                <w:lang w:val="en-US" w:eastAsia="ru-RU"/>
              </w:rPr>
              <w:t>&lt;…&gt;</w:t>
            </w:r>
          </w:p>
          <w:p w:rsidR="00E92ACD" w:rsidRDefault="00E92ACD">
            <w:pPr>
              <w:spacing w:line="288" w:lineRule="auto"/>
              <w:ind w:left="2699"/>
            </w:pPr>
          </w:p>
          <w:p w:rsidR="00E92ACD" w:rsidRDefault="00334F3E">
            <w:pPr>
              <w:spacing w:line="288" w:lineRule="auto"/>
              <w:ind w:left="2699"/>
            </w:pPr>
            <w:r>
              <w:rPr>
                <w:kern w:val="0"/>
                <w:lang w:val="en-US" w:eastAsia="ru-RU"/>
              </w:rPr>
              <w:t>&lt;…&gt;</w:t>
            </w:r>
          </w:p>
        </w:tc>
      </w:tr>
    </w:tbl>
    <w:p w:rsidR="00E92ACD" w:rsidRDefault="00723603">
      <w:pPr>
        <w:spacing w:line="256" w:lineRule="auto"/>
        <w:ind w:firstLine="709"/>
        <w:jc w:val="both"/>
      </w:pPr>
      <w:r>
        <w:t>Настоящее решение может быть обжаловано в суде, арбитражном суде в течение трех месяцев в установленном законом порядке.</w:t>
      </w:r>
      <w:bookmarkEnd w:id="1"/>
      <w:bookmarkEnd w:id="2"/>
      <w:bookmarkEnd w:id="3"/>
      <w:bookmarkEnd w:id="4"/>
    </w:p>
    <w:sectPr w:rsidR="00E92ACD">
      <w:headerReference w:type="default" r:id="rId17"/>
      <w:footerReference w:type="default" r:id="rId18"/>
      <w:footerReference w:type="first" r:id="rId19"/>
      <w:pgSz w:w="11906" w:h="16838"/>
      <w:pgMar w:top="1693" w:right="567" w:bottom="1243" w:left="1134" w:header="1134" w:footer="854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3A4" w:rsidRDefault="00723603">
      <w:r>
        <w:separator/>
      </w:r>
    </w:p>
  </w:endnote>
  <w:endnote w:type="continuationSeparator" w:id="0">
    <w:p w:rsidR="000123A4" w:rsidRDefault="00723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ACD" w:rsidRDefault="00723603">
    <w:pPr>
      <w:pStyle w:val="ac"/>
      <w:jc w:val="right"/>
    </w:pPr>
    <w:r>
      <w:rPr>
        <w:noProof/>
        <w:lang w:eastAsia="ru-RU" w:bidi="ar-SA"/>
      </w:rPr>
      <w:drawing>
        <wp:anchor distT="0" distB="0" distL="0" distR="0" simplePos="0" relativeHeight="6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1511935" cy="288290"/>
          <wp:effectExtent l="0" t="0" r="0" b="0"/>
          <wp:wrapTopAndBottom/>
          <wp:docPr id="5" name="SpdBar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pdBarco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2535" r="22535"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ACD" w:rsidRDefault="00723603">
    <w:pPr>
      <w:pStyle w:val="ac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7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198120</wp:posOffset>
              </wp:positionV>
              <wp:extent cx="1511935" cy="215900"/>
              <wp:effectExtent l="0" t="0" r="0" b="0"/>
              <wp:wrapSquare wrapText="bothSides"/>
              <wp:docPr id="6" name="Project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19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E92ACD" w:rsidRDefault="00700032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 w:rsidR="00723603">
                            <w:t>2026-5732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119.05pt;height:17pt;mso-wrap-distance-left:0pt;mso-wrap-distance-right:0pt;mso-wrap-distance-top:0pt;mso-wrap-distance-bottom:0pt;margin-top:15.6pt;mso-position-vertical-relative:text;margin-left:0pt;mso-position-horizontal-relative:text">
              <v:textbox inset="0in,0in,0in,0in">
                <w:txbxContent>
                  <w:p>
                    <w:pPr>
                      <w:pStyle w:val="Style15"/>
                      <w:spacing w:before="0" w:after="12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DOCVARIABLE ProjectNumber </w:instrText>
                    </w:r>
                    <w:r>
                      <w:rPr/>
                      <w:fldChar w:fldCharType="separate"/>
                    </w:r>
                    <w:r>
                      <w:rPr/>
                      <w:t>2026-5732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ACD" w:rsidRDefault="00723603">
    <w:pPr>
      <w:pStyle w:val="ac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1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727835" cy="215900"/>
              <wp:effectExtent l="0" t="0" r="0" b="0"/>
              <wp:wrapSquare wrapText="bothSides"/>
              <wp:docPr id="7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8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E92ACD" w:rsidRDefault="00700032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 w:rsidR="00723603">
                            <w:t>2026-5732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136.05pt;height:17pt;mso-wrap-distance-left:0pt;mso-wrap-distance-right:0pt;mso-wrap-distance-top:0pt;mso-wrap-distance-bottom:0pt;margin-top:0pt;mso-position-vertical-relative:text;margin-left:0pt;mso-position-horizontal-relative:text">
              <v:textbox inset="0in,0in,0in,0in">
                <w:txbxContent>
                  <w:p>
                    <w:pPr>
                      <w:pStyle w:val="Style15"/>
                      <w:spacing w:before="0" w:after="12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DOCVARIABLE ProjectNumber </w:instrText>
                    </w:r>
                    <w:r>
                      <w:rPr/>
                      <w:fldChar w:fldCharType="separate"/>
                    </w:r>
                    <w:r>
                      <w:rPr/>
                      <w:t>2026-5732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ACD" w:rsidRDefault="00E92AC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3A4" w:rsidRDefault="00723603">
      <w:r>
        <w:separator/>
      </w:r>
    </w:p>
  </w:footnote>
  <w:footnote w:type="continuationSeparator" w:id="0">
    <w:p w:rsidR="000123A4" w:rsidRDefault="00723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ACD" w:rsidRDefault="00723603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700032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№ 073/10/104-824/2026"/>
    <w:docVar w:name="BDCTemplate" w:val="Shablon"/>
    <w:docVar w:name="BossProviderVariable" w:val="f3622f0a-133a-461b-90ba-f23aa62d5ea9"/>
    <w:docVar w:name="Ispolnitel" w:val="Мартынова Н.А."/>
    <w:docVar w:name="IspolnitelPhone" w:val="073-255, вн.218"/>
    <w:docVar w:name="KorrespondentOutgoing" w:val="Государственное учреждение здравоохранения &quot;Центральная городская клиническая больница  г. Ульяновска&quot;_x000a_432057, г. Ульяновск, ул. Оренбургская, д. 27_x000a__x000a_cgkbzakaz@mail.ru; cgkb73@mail.ru_x000a__x000a_Индивидуальный предприниматель Титаренко А.В._x000a_432044, г. Ульяновск, ул. Героев Свири, д. 24, кв. 65_x000a_e.khavdeeva@star-tender.ru; 70titarenko@mail.ru"/>
    <w:docVar w:name="PredsedatelDolj" w:val="Врио руководителя управления"/>
    <w:docVar w:name="PredsedatelIOF" w:val="К.Ю. Попов"/>
    <w:docVar w:name="ProjectNumber" w:val="2026-5732"/>
  </w:docVars>
  <w:rsids>
    <w:rsidRoot w:val="00E92ACD"/>
    <w:rsid w:val="000123A4"/>
    <w:rsid w:val="0011328F"/>
    <w:rsid w:val="00334F3E"/>
    <w:rsid w:val="00700032"/>
    <w:rsid w:val="00723603"/>
    <w:rsid w:val="00E9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61C786-AFE4-4D88-93FC-F7D4998B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basedOn w:val="a0"/>
    <w:qFormat/>
    <w:rPr>
      <w:rFonts w:ascii="Times New Roman" w:hAnsi="Times New Roman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6"/>
    <w:qFormat/>
  </w:style>
  <w:style w:type="paragraph" w:customStyle="1" w:styleId="ab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">
    <w:name w:val="Обычная таблица1"/>
    <w:qFormat/>
    <w:pPr>
      <w:spacing w:after="160" w:line="256" w:lineRule="auto"/>
    </w:pPr>
    <w:rPr>
      <w:rFonts w:ascii="Calibri" w:eastAsia="Roboto" w:hAnsi="Calibri" w:cs="Times New Roman"/>
      <w:sz w:val="22"/>
      <w:szCs w:val="22"/>
      <w:lang w:eastAsia="en-US" w:bidi="ar-SA"/>
    </w:rPr>
  </w:style>
  <w:style w:type="paragraph" w:customStyle="1" w:styleId="10">
    <w:name w:val="Сетка таблицы1"/>
    <w:basedOn w:val="1"/>
    <w:qFormat/>
    <w:pPr>
      <w:spacing w:after="0" w:line="240" w:lineRule="auto"/>
    </w:pPr>
  </w:style>
  <w:style w:type="paragraph" w:styleId="ae">
    <w:name w:val="header"/>
    <w:basedOn w:val="ab"/>
    <w:pPr>
      <w:tabs>
        <w:tab w:val="clear" w:pos="4819"/>
        <w:tab w:val="clear" w:pos="9638"/>
        <w:tab w:val="center" w:pos="5102"/>
        <w:tab w:val="right" w:pos="1020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ref=B7A1D24F112C039E073AB8BB3F92052F436605EA20FFFFFE8DCFD3DE66BA1BA577AC410E69A6F52274DF9C1E994BDE387C13E0FB42E0r7pBG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zakupki.gov.ru/epz/order/notice/ea20/view/common-info.html?regNumber=0168500000626002875" TargetMode="External"/><Relationship Id="rId12" Type="http://schemas.openxmlformats.org/officeDocument/2006/relationships/hyperlink" Target="consultantplus://offline/ref=B7A1D24F112C039E073AB8BB3F92052F436605EA20FFFFFE8DCFD3DE66BA1BA577AC410E6CA4FD2274DF9C1E994BDE387C13E0FB42E0r7pBG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2803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zakupki.gov.ru/epz/order/notice/ea20/view/protocol/protocol-main-info.html?regNumber=0368300000126001306&amp;type=cpa&amp;version=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ormativ.kontur.ru/document?moduleId=1&amp;documentId=428036" TargetMode="External"/><Relationship Id="rId10" Type="http://schemas.openxmlformats.org/officeDocument/2006/relationships/hyperlink" Target="https://zakupki.gov.ru/epz/order/notice/ea20/view/common-info.html?regNumber=0168500000626002875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zakupki.gov.ru/" TargetMode="External"/><Relationship Id="rId14" Type="http://schemas.openxmlformats.org/officeDocument/2006/relationships/hyperlink" Target="https://normativ.kontur.ru/document?moduleId=1&amp;documentId=41842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Мартынова Наталья Алексеевна</cp:lastModifiedBy>
  <cp:revision>30</cp:revision>
  <cp:lastPrinted>2019-12-05T19:08:00Z</cp:lastPrinted>
  <dcterms:created xsi:type="dcterms:W3CDTF">2019-12-05T18:13:00Z</dcterms:created>
  <dcterms:modified xsi:type="dcterms:W3CDTF">2026-10-02T06:49:00Z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hCTJXxHDq6B6VEB35xG/ww==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