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rFonts w:ascii="Times New Roman" w:hAnsi="Times New Roman" w:cs="Times New Roman"/>
          <w:sz w:val="26"/>
          <w:szCs w:val="26"/>
        </w:rPr>
      </w:pPr>
      <w:r>
        <w:rPr>
          <w:rFonts w:cs="Times New Roman" w:ascii="Times New Roman" w:hAnsi="Times New Roman"/>
          <w:sz w:val="26"/>
          <w:szCs w:val="26"/>
        </w:rPr>
        <w:t>РЕШЕНИЕ №637/2025</w:t>
      </w:r>
    </w:p>
    <w:p>
      <w:pPr>
        <w:pStyle w:val="Normal"/>
        <w:spacing w:before="0" w:after="0"/>
        <w:jc w:val="center"/>
        <w:rPr>
          <w:rFonts w:ascii="Times New Roman" w:hAnsi="Times New Roman" w:cs="Times New Roman"/>
          <w:sz w:val="26"/>
          <w:szCs w:val="26"/>
        </w:rPr>
      </w:pPr>
      <w:r>
        <w:rPr>
          <w:rFonts w:cs="Times New Roman" w:ascii="Times New Roman" w:hAnsi="Times New Roman"/>
          <w:sz w:val="26"/>
          <w:szCs w:val="26"/>
        </w:rPr>
        <w:t>по делу № 023/06/33-3708/2025</w:t>
      </w:r>
    </w:p>
    <w:p>
      <w:pPr>
        <w:pStyle w:val="Normal"/>
        <w:spacing w:before="0" w:after="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t>о нарушении законодательства в сфере закупок товаров, работ, услуг для обеспечения государственных и муниципальных нужд</w:t>
      </w:r>
    </w:p>
    <w:p>
      <w:pPr>
        <w:pStyle w:val="Normal"/>
        <w:spacing w:before="0" w:after="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spacing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1 сентября 2025 года                                                                                     г. Краснодар</w:t>
      </w:r>
    </w:p>
    <w:p>
      <w:pPr>
        <w:pStyle w:val="Normal"/>
        <w:spacing w:lineRule="auto" w:line="300" w:before="0" w:after="0"/>
        <w:ind w:firstLine="709"/>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spacing w:lineRule="auto" w:line="300" w:before="0" w:after="0"/>
        <w:ind w:firstLine="709"/>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рассмотрев жалобу ООО «Химлаб» (далее Заявитель) на действия </w:t>
      </w:r>
      <w:r>
        <w:rPr>
          <w:rFonts w:cs="Times New Roman" w:ascii="Times New Roman" w:hAnsi="Times New Roman"/>
          <w:sz w:val="26"/>
          <w:szCs w:val="26"/>
        </w:rPr>
        <w:t xml:space="preserve">заказчика — </w:t>
      </w:r>
      <w:r>
        <w:rPr>
          <w:rFonts w:eastAsia="Times New Roman" w:cs="Times New Roman" w:ascii="Times New Roman" w:hAnsi="Times New Roman"/>
          <w:sz w:val="26"/>
          <w:szCs w:val="26"/>
        </w:rPr>
        <w:t>Министерство здравоохранения Краснодарского края</w:t>
      </w:r>
      <w:r>
        <w:rPr>
          <w:rFonts w:cs="Times New Roman" w:ascii="Times New Roman" w:hAnsi="Times New Roman"/>
          <w:sz w:val="26"/>
          <w:szCs w:val="26"/>
        </w:rPr>
        <w:t xml:space="preserve">, уполномоченного учреждения - ГКУ КК «ДГЗ» </w:t>
      </w:r>
      <w:r>
        <w:rPr>
          <w:rFonts w:eastAsia="Times New Roman" w:cs="Times New Roman" w:ascii="Times New Roman" w:hAnsi="Times New Roman"/>
          <w:sz w:val="26"/>
          <w:szCs w:val="26"/>
        </w:rPr>
        <w:t>при проведении электронного аукциона: «Поставка установки для деструкции и обеззараживания медицинских отходов» (извещение № 0818500000825005942) в части нарушения законодательства о контрактной системе,</w:t>
      </w:r>
    </w:p>
    <w:p>
      <w:pPr>
        <w:pStyle w:val="Normal"/>
        <w:spacing w:before="0" w:after="0"/>
        <w:jc w:val="center"/>
        <w:rPr>
          <w:rFonts w:ascii="Times New Roman" w:hAnsi="Times New Roman" w:cs="Times New Roman"/>
          <w:sz w:val="26"/>
          <w:szCs w:val="26"/>
        </w:rPr>
      </w:pPr>
      <w:r>
        <w:rPr>
          <w:rFonts w:cs="Times New Roman" w:ascii="Times New Roman" w:hAnsi="Times New Roman"/>
          <w:sz w:val="26"/>
          <w:szCs w:val="26"/>
        </w:rPr>
      </w:r>
    </w:p>
    <w:p>
      <w:pPr>
        <w:pStyle w:val="Normal"/>
        <w:spacing w:before="0" w:after="0"/>
        <w:jc w:val="center"/>
        <w:rPr>
          <w:rFonts w:ascii="Times New Roman" w:hAnsi="Times New Roman" w:cs="Times New Roman"/>
          <w:sz w:val="26"/>
          <w:szCs w:val="26"/>
        </w:rPr>
      </w:pPr>
      <w:r>
        <w:rPr>
          <w:rFonts w:cs="Times New Roman" w:ascii="Times New Roman" w:hAnsi="Times New Roman"/>
          <w:sz w:val="26"/>
          <w:szCs w:val="26"/>
        </w:rPr>
        <w:t>УСТАНОВИЛА:</w:t>
      </w:r>
    </w:p>
    <w:p>
      <w:pPr>
        <w:pStyle w:val="Normal"/>
        <w:spacing w:before="0" w:after="0"/>
        <w:jc w:val="center"/>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300" w:before="0" w:after="0"/>
        <w:ind w:firstLine="709"/>
        <w:jc w:val="both"/>
        <w:rPr>
          <w:rFonts w:ascii="Times New Roman" w:hAnsi="Times New Roman" w:eastAsia="Times New Roman" w:cs="Times New Roman"/>
          <w:bCs/>
          <w:sz w:val="26"/>
          <w:szCs w:val="26"/>
          <w:lang w:eastAsia="ru-RU"/>
        </w:rPr>
      </w:pPr>
      <w:r>
        <w:rPr>
          <w:rFonts w:cs="Times New Roman" w:ascii="Times New Roman" w:hAnsi="Times New Roman"/>
          <w:sz w:val="26"/>
          <w:szCs w:val="26"/>
        </w:rPr>
        <w:t xml:space="preserve">Заявитель указывает описание объекта закупки составлен с нарушением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 о контрактной системе): </w:t>
      </w:r>
      <w:r>
        <w:rPr>
          <w:rFonts w:eastAsia="Times New Roman" w:cs="Times New Roman" w:ascii="Times New Roman" w:hAnsi="Times New Roman"/>
          <w:bCs/>
          <w:sz w:val="26"/>
          <w:szCs w:val="26"/>
          <w:lang w:eastAsia="ru-RU"/>
        </w:rPr>
        <w:t>описание объекта закупки составлено таким образом, что им соответствуют только продукты конкретного производителя.</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 xml:space="preserve">Заказчиком предоставлены письменные пояснения, согласно которым с доводами жалобы не согласен. </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Рассмотрев представленные материалы, Комиссия пришла к следующим выводам.</w:t>
      </w:r>
    </w:p>
    <w:p>
      <w:pPr>
        <w:pStyle w:val="Normal"/>
        <w:spacing w:lineRule="auto" w:line="300" w:before="0" w:after="0"/>
        <w:ind w:firstLine="709"/>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Заказчиком - Министерство здравоохранения Краснодарского края</w:t>
      </w:r>
      <w:r>
        <w:rPr>
          <w:rFonts w:cs="Times New Roman" w:ascii="Times New Roman" w:hAnsi="Times New Roman"/>
          <w:sz w:val="26"/>
          <w:szCs w:val="26"/>
        </w:rPr>
        <w:t xml:space="preserve">, </w:t>
      </w:r>
      <w:r>
        <w:rPr>
          <w:rFonts w:eastAsia="Times New Roman" w:cs="Times New Roman" w:ascii="Times New Roman" w:hAnsi="Times New Roman"/>
          <w:sz w:val="26"/>
          <w:szCs w:val="26"/>
        </w:rPr>
        <w:t xml:space="preserve">в ЕИС 14.08.2025 размещено извещение о проведении электронного аукциона: </w:t>
      </w:r>
      <w:r>
        <w:rPr/>
        <w:t>«</w:t>
      </w:r>
      <w:r>
        <w:rPr>
          <w:rFonts w:eastAsia="Times New Roman" w:cs="Times New Roman" w:ascii="Times New Roman" w:hAnsi="Times New Roman"/>
          <w:sz w:val="26"/>
          <w:szCs w:val="26"/>
        </w:rPr>
        <w:t>Поставка установки для деструкции и обеззараживания медицинских отходов» (извещение № 0818500000825005942) с НМЦК –</w:t>
      </w:r>
      <w:r>
        <w:rPr>
          <w:rFonts w:cs="Times New Roman" w:ascii="Times New Roman" w:hAnsi="Times New Roman"/>
          <w:sz w:val="26"/>
          <w:szCs w:val="26"/>
        </w:rPr>
        <w:t xml:space="preserve"> </w:t>
      </w:r>
      <w:r>
        <w:rPr>
          <w:rFonts w:eastAsia="Times New Roman" w:cs="Times New Roman" w:ascii="Times New Roman" w:hAnsi="Times New Roman"/>
          <w:sz w:val="26"/>
          <w:szCs w:val="26"/>
        </w:rPr>
        <w:t xml:space="preserve">5 790 933,32руб. </w:t>
      </w:r>
    </w:p>
    <w:p>
      <w:pPr>
        <w:pStyle w:val="Normal"/>
        <w:spacing w:lineRule="auto" w:line="300" w:before="0" w:after="0"/>
        <w:ind w:firstLine="709"/>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На основании ч.2 ст.8 Закона о контрактной системе конкуренция при осуществлении закупок должна быть основана на соблюдении принципа добросовестной ценовой и неценовой конкуренции между участниками закупок в целях выявления лучших условий поставок товаров, выполнения работ, оказания услуг.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 xml:space="preserve">В соответствии с ч.2 ст.42 Закона о контрактной системе извещение об осуществлении закупки, если иное не предусмотрено настоящим Федеральным законом, должно содержать следующие электронные документы: </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 xml:space="preserve">1) описание объекта закупки в соответствии со статьей 33 настоящего Федерального закона; </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 xml:space="preserve">2) обоснование начальной (максимальной) цены контракта с указанием информации о валюте, используемой для формирования цены контракта и расчетов с поставщиком (подрядчиком, исполнителем), порядка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 </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 xml:space="preserve">3) требования к содержанию, составу заявки на участие в закупке в соответствии с настоящим Федеральным законом и инструкция по ее заполнению.  При этом не допускается установление требований, влекущих за собой ограничение количества участников закупки; </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 xml:space="preserve">4) порядок рассмотрения и оценки заявок на участие в конкурсах в соответствии с настоящим Федеральным законом; </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 xml:space="preserve">5) проект контракта. </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 xml:space="preserve">Согласно п.1) ч.1 ст.33 Закона о контрактной системе заказчик в случаях, предусмотренных настоящим Федеральным законом, при описании объекта закупки должен руководствоваться следующими правилами: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 </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 xml:space="preserve">а) сопровождение такого указания словами "или эквивалент"; </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 xml:space="preserve">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 </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 xml:space="preserve">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 </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 xml:space="preserve">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 </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 xml:space="preserve">Ч.6 ст.23 Закона о контрактной системе установлено, что порядок формирования и ведения в единой информационной системе каталога товаров, работ, услуг для обеспечения государственных и муниципальных нужд, а также правила использования указанного каталога устанавливаются Правительством РФ. </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 xml:space="preserve">В силу п.9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утвержденных постановлением Правительства РФ от 08.02.2017 №145 (Далее Правила) каталог формируется и ведется в электронной форм. Позиция каталога формируется согласно п.10 Правил. П.4 Правил установлено, что заказчики обязаны применять информацию, включенную в позицию каталога в соответствии с подпунктами «б»-«г» и «е»-«з» пункта 10 Правил, с указанной в ней даты начала обязательного применения. При этом заказчик обязан при осуществлении закупки использовать информацию, включенную в соответствующую позицию, в том числе указывать согласно такой позиции следующую информацию: а) наименование товара, работы, услуги; б) единицы измерения количества товара, объема выполняемой работы, оказываемой услуги (при наличии); в) описание товара, работы, услуги (при наличии такого описания в позиции). </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В случае предоставления дополнительной информации, предусмотренной пунктом 5 настоящих Правил, заказчик обязан включить в описание товара, работы, услуги обоснование необходимости использования такой информации (при наличии описания товара, работы, услуги в позиции каталога).</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Согласно п.п.а) пункта 7 Постановления Правительства № 1875 при отсутствии на территории РФ производства товаров из перечня Приложения № 2 Заказчику необходимо осуществить декларирование отсутствия такого товара на территории РФ, а также приложить к извещению копию уведомления в Минпромторг, с характеристиками закупаемых товаров.</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Согласно п. 1.4.1. ст. 33 Федерального закона № 44-ФЗ в описании объекта закупки указываются функциональные, технические и качественные характеристики, эксплуатационные характеристики объекта закупки.</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Согласно подпунктом "г" пункта 10 Правил Постановления Правительства № 145, включается в каталог товаров работ и услуг после согласования с Федеральной антимонопольной службой.</w:t>
      </w:r>
    </w:p>
    <w:p>
      <w:pPr>
        <w:pStyle w:val="Normal"/>
        <w:spacing w:lineRule="auto" w:line="300" w:before="0" w:after="0"/>
        <w:ind w:firstLine="709"/>
        <w:jc w:val="both"/>
        <w:rPr>
          <w:rFonts w:ascii="Times New Roman" w:hAnsi="Times New Roman" w:cs="Times New Roman"/>
          <w:b/>
          <w:b/>
          <w:sz w:val="26"/>
          <w:szCs w:val="26"/>
        </w:rPr>
      </w:pPr>
      <w:r>
        <w:rPr>
          <w:rFonts w:cs="Times New Roman" w:ascii="Times New Roman" w:hAnsi="Times New Roman"/>
          <w:b/>
          <w:sz w:val="26"/>
          <w:szCs w:val="26"/>
        </w:rPr>
        <w:t>1. Относительно довода заявителя о том, что «Заказчик не просто описал объект закупки, а создал уникальный «технический отпечаток», сформировав совокупность не связанных между собой конструктивных и технологических характеристик, которым в полном объеме соответствует только один продукт на российском рынке»</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 xml:space="preserve">Заказчик вправе указать в извещении об осуществлении закупки, приглашении и документации о закупке (в случае если Федеральным законом предусмотрена документация о закупке) дополнительную информацию, а также дополнительные потребительские свойства, в том числе функциональные, технические, качественные, эксплуатационные характеристики товара, работы, услуги в соответствии с положениями статьи 33 Федерального закона, которые не предусмотрены в позиции каталога, за исключением случаев: </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а) если при осуществлении закупки товара (в том числе поставляемого при выполнении закупаемых работ, оказании закупаемых услуг), указанного в позициях 25, 26 и 32 приложения № 1 к постановлению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позициях 191 - 361 приложения № 2 к указанному постановлению, применяются предусмотренные пунктом 1 указанного постановления запрет, ограничение соответственно;</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 xml:space="preserve">б) если иное не предусмотрено особенностями описания отдельных видов объектов закупок, устанавливаемыми Правительством Российской Федерации в соответствии с частью 5 статьи 33 Федерального закона. </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 xml:space="preserve">В случае предоставления дополнительной информации, предусмотренной пунктом 5 настоящих Правил, заказчик обязан включить в описание товара, работы, услуги обоснование необходимости использования такой информации (при наличии описания товара, работы, услуги в позиции каталога). </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Частью 1 статьи 12 Закона о контрактной системе установлено, что государственные органы, органы управления государственными внебюджетными фондами, муниципальные органы, казенные учреждения, иные юридические лица в случаях, установленных настоящим Федеральным законом, при планировании и осуществлении закупок должны исходить из необходимости достижения заданных результатов обеспечения государственных и муниципальных нужд. Следовательно, основной задачей законодательства, устанавливающего порядок проведения торгов, является не столько обеспечение максимально широкого круга участников закупок, сколько выявление в результате торгов лица, исполнение контракта которым в наибольшей степени будет отвечать целям эффективности и результативности обеспечения государственных и муниципальных нужд.</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Возможность устанавливать параметры необходимого к поставке товара, исходя из своих потребностей, является законодательно закрепленным правом Заказчика, а потребности Заказчика являются определяющим фактором при установлении им соответствующих требований.</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Соответственно, государственный заказчик вправе включить такие качественные, технические и функциональные характеристики товаров, которые отвечают его потребностям и необходимы для выполнения соответствующих государственных функций.</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При этом заказчик вправе детализировать предмет закупок. Отсутствие у лиц, заинтересованных в заключении контракта, возможности поставить товар, соответствующий потребностям Заказчика, не свидетельствует о нарушении Заказчиком прав этих лиц, а также ограничении Заказчиком числа участников торгов.</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В соответствии с позицией ФАС России (письмо от 26.05.2025 №ГР/48883/25) актуальные сведения в отношении медицинских изделий, разрешенных к обращению на территории РФ, отражены в инструкциях по применению медицинских изделий, содержащихся в реестре медицинских изделий и организаций (индивидуальных предпринимателей), осуществляющих производство и изготовление медицинских изделий Росздравнадзора. При необходимости сведения, представленные в заявках участников следует сверять с приведенными в реестре сведениями. В случае отсутствия отдельных характеристик закупаемого медицинского изделия в эксплуатационной документации, размещенной на сайте Росздравнадзора, подтверждением соответствия таких характеристик описанию объекта закупки могут являться инструкции и документы на медицинское изделие, полученные любым иным способом, актуальность и достоверность которых могут быть перепроверены, в том числе при исполнении контрольных функций.</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Так же в письме Росздравнадзора от 21.12.2023 №09-Ю-15585/5 указано, что с вопросами по содержанию технической и эксплуатационной документации на медицинское изделие необходимо обращаться к производителю или его уполномоченному представителю.</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Заказчиком предоставлены развернутые пояснения в виде сравнительной таблицы и информационных писем от заводов производителей и официальных представителей производителей однородного оборудования на территории Российской Федерации.</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Считаем указанный довод жалобы необоснованным.</w:t>
      </w:r>
    </w:p>
    <w:p>
      <w:pPr>
        <w:pStyle w:val="Normal"/>
        <w:spacing w:lineRule="auto" w:line="300" w:before="0" w:after="0"/>
        <w:ind w:firstLine="709"/>
        <w:jc w:val="both"/>
        <w:rPr>
          <w:rFonts w:ascii="Times New Roman" w:hAnsi="Times New Roman" w:cs="Times New Roman"/>
          <w:b/>
          <w:b/>
          <w:sz w:val="26"/>
          <w:szCs w:val="26"/>
        </w:rPr>
      </w:pPr>
      <w:r>
        <w:rPr>
          <w:rFonts w:cs="Times New Roman" w:ascii="Times New Roman" w:hAnsi="Times New Roman"/>
          <w:b/>
          <w:sz w:val="26"/>
          <w:szCs w:val="26"/>
        </w:rPr>
        <w:t>2. Относительно довода «1. Фундаментальное несоответствие по требованиям к электропитанию. Техническое задание устанавливает безальтернативные и строгие требования к электропитанию.»</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Характеристика включающая в себя «напряжение 220 Вольт» в соответствие с описанием объекта закупки указана следующим образом: «Требования к установке для деструкции: Напряжение 220 В - Соответствие»</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Таким образом требование к напряжению 220 Вольт относится к установке для деструкции, а не к установке для СВЧ обеззараживания. В совокупности требований именно к установке для СВЧ обеззараживания отсутствуют требования к вольтажу сети электропитания за исключением потребляемой мощности. Поэтому позиция заявителя жалобы о неправомерной комбинации требований к трехфазной сети и напряжению 220 вольт несостоятельна.</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Касаемо потребляемой мощности установкой Medister 60 в инструкции из состава регистрационного удостоверения ФСЗ 2009/04443 указана не конкретная, а максимально возможная мощность в 4,5 кВт. Согласно письма от официального представителя «Метека ГмбХ» на территории Российской Федерации ООО «Астра» установка может быть выполнена в варианте с потребляемой мощностью в 3,2 кВт, что не противоречит требования описания объекта закупки.</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Считаем указанный довод жалобы необоснованным.</w:t>
      </w:r>
    </w:p>
    <w:p>
      <w:pPr>
        <w:pStyle w:val="Normal"/>
        <w:spacing w:lineRule="auto" w:line="300" w:before="0" w:after="0"/>
        <w:ind w:firstLine="709"/>
        <w:jc w:val="both"/>
        <w:rPr>
          <w:rFonts w:ascii="Times New Roman" w:hAnsi="Times New Roman" w:cs="Times New Roman"/>
          <w:b/>
          <w:b/>
          <w:sz w:val="26"/>
          <w:szCs w:val="26"/>
        </w:rPr>
      </w:pPr>
      <w:r>
        <w:rPr>
          <w:rFonts w:cs="Times New Roman" w:ascii="Times New Roman" w:hAnsi="Times New Roman"/>
          <w:b/>
          <w:sz w:val="26"/>
          <w:szCs w:val="26"/>
        </w:rPr>
        <w:t>3. Относительно довода «Несоответствие по конструктивным особенностям (смотровое окно).»</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В соответствии с позицией ФАС России (письмо от 26.05.2025 №ГР/48883/25) получено подтверждение данной характеристик от официального представителя «Метека ГмбХ» на территории Российской Федерации ООО «Астра» о наличии данного конструктивного элемента установки MEDISTER 60 ввиду отсутствия его описания в составе регистрационного удостоверения ФСЗ 2009/04443</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Считаем указанный довод жалобы необоснованным.</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b/>
          <w:sz w:val="26"/>
          <w:szCs w:val="26"/>
        </w:rPr>
        <w:t>4. Относительно довода «Установление незаконного требования о наличии незарегистрированного компонента. Техническое задание содержит требование о наличии «встроенного модуля беспроводной связи для управления системой» у системы Бионар».</w:t>
      </w:r>
      <w:r>
        <w:rPr>
          <w:rFonts w:cs="Times New Roman" w:ascii="Times New Roman" w:hAnsi="Times New Roman"/>
          <w:sz w:val="26"/>
          <w:szCs w:val="26"/>
        </w:rPr>
        <w:t xml:space="preserve"> </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В соответствии с позицией ФАС России (письмо от 26.05.2025 №ГР/48883/25) получено подтверждение наличия данной характеристик у установки «Бионар» от завода-производителя ООО «Вольтметрика» в виду отсутствия описания данной характеристики в составе документации из состава регистрационного удостоверения № РЗН 2020/9879 (Исх.№282-25 прилагается к отзыву) и получено подтверждение наличия данной функции у установки Medister 60 от официального представителя «Метека ГмбХ» на территории Российской Федерации ООО «Астра».</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Считаем указанный довод жалобы необоснованным.</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b/>
          <w:sz w:val="26"/>
          <w:szCs w:val="26"/>
        </w:rPr>
        <w:t>5. Относительно довода «Контро</w:t>
      </w:r>
      <w:bookmarkStart w:id="0" w:name="_GoBack"/>
      <w:bookmarkEnd w:id="0"/>
      <w:r>
        <w:rPr>
          <w:rFonts w:cs="Times New Roman" w:ascii="Times New Roman" w:hAnsi="Times New Roman"/>
          <w:b/>
          <w:sz w:val="26"/>
          <w:szCs w:val="26"/>
        </w:rPr>
        <w:t>ль температуры: Требуется именно «бесконтактный инфракрасный температурный датчик».</w:t>
      </w:r>
      <w:r>
        <w:rPr>
          <w:rFonts w:cs="Times New Roman" w:ascii="Times New Roman" w:hAnsi="Times New Roman"/>
          <w:sz w:val="26"/>
          <w:szCs w:val="26"/>
        </w:rPr>
        <w:t xml:space="preserve"> </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 xml:space="preserve">Согласно страницы 516 инструкции по эксплуатации из состава ФСЗ 2009/04443 (MEDISTER 60) указано: «еженедельно очищать стеклянные линзы на оборудовании для инфракрасного мониторинга», что напрямую указывает на использование именно бесконтактных инфракрасных температурных датчиков для контроля температуры в камере. Данную характеристики так же подтверждает письмо от официального представителя «Метека ГмбХ» на территории Российской Федерации ООО «Астра». Наличие данной характеристики у установки «Бионар» подтверждается письмом завода-изготовителя Исх.№283-25 от 27.05.2025г. </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Считаем указанный довод жалобы необоснованным.</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b/>
          <w:sz w:val="26"/>
          <w:szCs w:val="26"/>
        </w:rPr>
        <w:t>6. Относительно довода «Детекция дыма: Требуется именно «встроенный оптический сенсор детекции ситуации задымления».</w:t>
      </w:r>
      <w:r>
        <w:rPr>
          <w:rFonts w:cs="Times New Roman" w:ascii="Times New Roman" w:hAnsi="Times New Roman"/>
          <w:sz w:val="26"/>
          <w:szCs w:val="26"/>
        </w:rPr>
        <w:t xml:space="preserve"> </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Функциональная потребность заключается в обеспечении пожарной безопасности, которая может быть решена и другими типами сенсоров (например, ионизационными датчиками). Предписывая конкретный тип сенсора, Заказчик отдает предпочтение конструктивному решению одного производителя.» Сообщаем, что детекция ситуации задымления осуществляется с помощью оптического сенсора как минимум в двух системах: в установке для дезинфекции медицинских отходов MEDISTER и Системе обеззараживания медицинских отходов микроволновой "Бионар" по ТУ 32.50.50-001-20851585-2018. Данный сенсор в системе MEDISTER упоминается в регистрационном досье (инструкция страница 527) и реализован как ИК-датчик, он же оптический (ГОСТ ISO 4007-2016 Система стандартов безопасности труда (ССБТ)), также дополнительно он указан в официальном письме от авторизованного дистрибьютора компании Meteka (производитель MEDISTER 60) - ООО «Астра». В Системе обеззараживания медицинских отходов микроволновой "Бионар" по ТУ 32.50.50-001-20851585-2018, присутствие датчика подтверждается официальным письмом от производителя с указанием данной характеристики.</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Считаем указанный довод жалобы необоснованным.</w:t>
      </w:r>
    </w:p>
    <w:p>
      <w:pPr>
        <w:pStyle w:val="Normal"/>
        <w:spacing w:lineRule="auto" w:line="300" w:before="0" w:after="0"/>
        <w:ind w:firstLine="709"/>
        <w:jc w:val="both"/>
        <w:rPr>
          <w:rFonts w:ascii="Times New Roman" w:hAnsi="Times New Roman" w:cs="Times New Roman"/>
          <w:b/>
          <w:b/>
          <w:sz w:val="26"/>
          <w:szCs w:val="26"/>
        </w:rPr>
      </w:pPr>
      <w:r>
        <w:rPr>
          <w:rFonts w:cs="Times New Roman" w:ascii="Times New Roman" w:hAnsi="Times New Roman"/>
          <w:b/>
          <w:sz w:val="26"/>
          <w:szCs w:val="26"/>
        </w:rPr>
        <w:t>7. Относительно довода «Дисплей: Установлено требование к дисплею с конкретным разрешением и типом — «текстовый, 20х4 символов». Это пример избыточной детализации, не связанной с функциональностью.»</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 xml:space="preserve">Текстовый дисплей 20х4 символов присутствует как минимум в двух системах: в установке для дезинфекции медицинских отходов MEDISTER, что подтверждается официальным письмом от ООО «Астра», авторизованного дистрибьютора компании Meteka (производитель MEDISTER 60), и Системе обеззараживания медицинских отходов микроволновой "Бионар" по ТУ 32.50.50-001-20851585-2018, что подтверждается официальным письмом от производителя с указанием данной характеристики. </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Так же в период подачи заявок на аукцион был дан ответ на запрос на разъяснения, что под данную характеристику подходит любой дисплей, способный отображать 4 строки по 20 символов. Какое-либо указание на тип исполнения дисплея (сенсорный, цветной, монохромный, жидкокристалический, сегментный и т.д.) отсутствуют, что минимально ограничивает потенциальных участников.</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Считаем указанный довод жалобы необоснованным.</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Таким образом, требования Описания закупки сформированы Заказчиком в соответствии с требованиями ст. 33 Закона 44-ФЗ и не нарушают нормы действующего законодательства.</w:t>
      </w:r>
    </w:p>
    <w:p>
      <w:pPr>
        <w:pStyle w:val="Normal"/>
        <w:spacing w:lineRule="auto" w:line="300" w:before="0" w:after="0"/>
        <w:ind w:firstLine="709"/>
        <w:jc w:val="both"/>
        <w:rPr>
          <w:rFonts w:ascii="Times New Roman" w:hAnsi="Times New Roman" w:cs="Times New Roman"/>
          <w:sz w:val="26"/>
          <w:szCs w:val="26"/>
        </w:rPr>
      </w:pPr>
      <w:r>
        <w:rPr>
          <w:rFonts w:cs="Times New Roman" w:ascii="Times New Roman" w:hAnsi="Times New Roman"/>
          <w:sz w:val="26"/>
          <w:szCs w:val="26"/>
        </w:rPr>
        <w:t>Комиссия, руководствуясь ч.15 ст.99, ч.8 ст.106 Закона о контрактной системе,</w:t>
      </w:r>
    </w:p>
    <w:p>
      <w:pPr>
        <w:pStyle w:val="Normal"/>
        <w:spacing w:lineRule="auto" w:line="300" w:before="0" w:after="0"/>
        <w:ind w:left="708" w:hanging="0"/>
        <w:jc w:val="center"/>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300" w:before="0" w:after="0"/>
        <w:rPr>
          <w:rFonts w:ascii="Times New Roman" w:hAnsi="Times New Roman" w:cs="Times New Roman"/>
          <w:sz w:val="26"/>
          <w:szCs w:val="26"/>
        </w:rPr>
      </w:pPr>
      <w:r>
        <w:rPr>
          <w:rFonts w:cs="Times New Roman" w:ascii="Times New Roman" w:hAnsi="Times New Roman"/>
          <w:sz w:val="26"/>
          <w:szCs w:val="26"/>
        </w:rPr>
      </w:r>
    </w:p>
    <w:p>
      <w:pPr>
        <w:pStyle w:val="Normal"/>
        <w:spacing w:lineRule="auto" w:line="300" w:before="0" w:after="0"/>
        <w:ind w:left="708" w:hanging="0"/>
        <w:jc w:val="center"/>
        <w:rPr>
          <w:rFonts w:ascii="Times New Roman" w:hAnsi="Times New Roman" w:cs="Times New Roman"/>
          <w:sz w:val="26"/>
          <w:szCs w:val="26"/>
        </w:rPr>
      </w:pPr>
      <w:r>
        <w:rPr>
          <w:rFonts w:cs="Times New Roman" w:ascii="Times New Roman" w:hAnsi="Times New Roman"/>
          <w:sz w:val="26"/>
          <w:szCs w:val="26"/>
        </w:rPr>
        <w:t>РЕШИЛА:</w:t>
      </w:r>
    </w:p>
    <w:p>
      <w:pPr>
        <w:pStyle w:val="Normal"/>
        <w:spacing w:lineRule="auto" w:line="300" w:before="0" w:after="0"/>
        <w:ind w:left="708" w:hanging="0"/>
        <w:jc w:val="center"/>
        <w:rPr>
          <w:rFonts w:ascii="Times New Roman" w:hAnsi="Times New Roman" w:cs="Times New Roman"/>
          <w:sz w:val="26"/>
          <w:szCs w:val="26"/>
        </w:rPr>
      </w:pPr>
      <w:r>
        <w:rPr>
          <w:rFonts w:cs="Times New Roman" w:ascii="Times New Roman" w:hAnsi="Times New Roman"/>
          <w:sz w:val="26"/>
          <w:szCs w:val="26"/>
        </w:rPr>
      </w:r>
    </w:p>
    <w:p>
      <w:pPr>
        <w:pStyle w:val="ListParagraph"/>
        <w:widowControl w:val="false"/>
        <w:numPr>
          <w:ilvl w:val="0"/>
          <w:numId w:val="4"/>
        </w:numPr>
        <w:suppressAutoHyphens w:val="true"/>
        <w:spacing w:lineRule="auto" w:line="300" w:before="0" w:after="0"/>
        <w:contextualSpacing/>
        <w:jc w:val="both"/>
        <w:outlineLvl w:val="2"/>
        <w:rPr>
          <w:rFonts w:ascii="Times New Roman" w:hAnsi="Times New Roman" w:cs="Times New Roman"/>
          <w:sz w:val="26"/>
          <w:szCs w:val="26"/>
        </w:rPr>
      </w:pPr>
      <w:r>
        <w:rPr>
          <w:rFonts w:cs="Times New Roman" w:ascii="Times New Roman" w:hAnsi="Times New Roman"/>
          <w:sz w:val="26"/>
          <w:szCs w:val="26"/>
        </w:rPr>
        <w:t xml:space="preserve">Признать жалобу </w:t>
      </w:r>
      <w:r>
        <w:rPr>
          <w:rFonts w:eastAsia="Times New Roman" w:cs="Times New Roman" w:ascii="Times New Roman" w:hAnsi="Times New Roman"/>
          <w:sz w:val="26"/>
          <w:szCs w:val="26"/>
        </w:rPr>
        <w:t>ООО «Химлаб»</w:t>
      </w:r>
      <w:r>
        <w:rPr>
          <w:rFonts w:cs="Times New Roman" w:ascii="Times New Roman" w:hAnsi="Times New Roman"/>
          <w:sz w:val="26"/>
          <w:szCs w:val="26"/>
        </w:rPr>
        <w:t xml:space="preserve"> необоснованной.</w:t>
      </w:r>
    </w:p>
    <w:p>
      <w:pPr>
        <w:pStyle w:val="ListParagraph"/>
        <w:widowControl w:val="false"/>
        <w:numPr>
          <w:ilvl w:val="0"/>
          <w:numId w:val="5"/>
        </w:numPr>
        <w:suppressAutoHyphens w:val="true"/>
        <w:spacing w:lineRule="auto" w:line="300" w:before="0" w:after="0"/>
        <w:contextualSpacing/>
        <w:jc w:val="both"/>
        <w:outlineLvl w:val="2"/>
        <w:rPr>
          <w:rFonts w:ascii="Times New Roman" w:hAnsi="Times New Roman" w:cs="Times New Roman"/>
          <w:sz w:val="26"/>
          <w:szCs w:val="26"/>
        </w:rPr>
      </w:pPr>
      <w:r>
        <w:rPr>
          <w:rFonts w:cs="Times New Roman" w:ascii="Times New Roman" w:hAnsi="Times New Roman"/>
          <w:sz w:val="26"/>
          <w:szCs w:val="26"/>
        </w:rPr>
        <w:t xml:space="preserve">Отменить приостановление определения поставщика (подрядчика, исполнителя) в части подписания контракта (извещение № </w:t>
      </w:r>
      <w:r>
        <w:rPr>
          <w:rFonts w:eastAsia="Times New Roman" w:cs="Times New Roman" w:ascii="Times New Roman" w:hAnsi="Times New Roman"/>
          <w:sz w:val="26"/>
          <w:szCs w:val="26"/>
        </w:rPr>
        <w:t>0818500000825005942</w:t>
      </w:r>
      <w:r>
        <w:rPr>
          <w:rFonts w:cs="Times New Roman" w:ascii="Times New Roman" w:hAnsi="Times New Roman"/>
          <w:sz w:val="26"/>
          <w:szCs w:val="26"/>
        </w:rPr>
        <w:t>).</w:t>
      </w:r>
    </w:p>
    <w:p>
      <w:pPr>
        <w:pStyle w:val="ListParagraph"/>
        <w:widowControl w:val="false"/>
        <w:numPr>
          <w:ilvl w:val="0"/>
          <w:numId w:val="0"/>
        </w:numPr>
        <w:spacing w:lineRule="auto" w:line="300" w:before="0" w:after="0"/>
        <w:ind w:left="1065" w:hanging="0"/>
        <w:contextualSpacing/>
        <w:jc w:val="both"/>
        <w:outlineLvl w:val="2"/>
        <w:rPr>
          <w:rFonts w:ascii="Times New Roman" w:hAnsi="Times New Roman" w:cs="Times New Roman"/>
          <w:sz w:val="26"/>
          <w:szCs w:val="26"/>
        </w:rPr>
      </w:pPr>
      <w:r>
        <w:rPr>
          <w:rFonts w:cs="Times New Roman" w:ascii="Times New Roman" w:hAnsi="Times New Roman"/>
          <w:sz w:val="26"/>
          <w:szCs w:val="26"/>
        </w:rPr>
        <w:t xml:space="preserve">Настоящее решение может быть обжаловано в арбитражном суде в течение трех месяцев в установленном законом порядке. </w:t>
      </w:r>
    </w:p>
    <w:p>
      <w:pPr>
        <w:pStyle w:val="Normal"/>
        <w:widowControl/>
        <w:bidi w:val="0"/>
        <w:spacing w:lineRule="auto" w:line="276" w:before="0" w:after="200"/>
        <w:jc w:val="left"/>
        <w:rPr/>
      </w:pPr>
      <w:r>
        <w:rPr/>
      </w:r>
    </w:p>
    <w:sectPr>
      <w:headerReference w:type="default" r:id="rId2"/>
      <w:type w:val="nextPage"/>
      <w:pgSz w:w="11906" w:h="16838"/>
      <w:pgMar w:left="1701" w:right="850" w:gutter="0" w:header="708"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Segoe U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4"/>
      <w:rPr/>
    </w:pPr>
    <w:r>
      <w:rPr/>
    </w:r>
  </w:p>
  <w:p>
    <w:pPr>
      <w:pStyle w:val="Style24"/>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065" w:hanging="360"/>
      </w:pPr>
    </w:lvl>
    <w:lvl w:ilvl="1">
      <w:start w:val="1"/>
      <w:numFmt w:val="lowerLetter"/>
      <w:lvlText w:val="%2."/>
      <w:lvlJc w:val="left"/>
      <w:pPr>
        <w:tabs>
          <w:tab w:val="num" w:pos="0"/>
        </w:tabs>
        <w:ind w:left="1785" w:hanging="360"/>
      </w:pPr>
    </w:lvl>
    <w:lvl w:ilvl="2">
      <w:start w:val="1"/>
      <w:numFmt w:val="lowerRoman"/>
      <w:lvlText w:val="%3."/>
      <w:lvlJc w:val="right"/>
      <w:pPr>
        <w:tabs>
          <w:tab w:val="num" w:pos="0"/>
        </w:tabs>
        <w:ind w:left="2505" w:hanging="180"/>
      </w:pPr>
    </w:lvl>
    <w:lvl w:ilvl="3">
      <w:start w:val="1"/>
      <w:numFmt w:val="decimal"/>
      <w:lvlText w:val="%4."/>
      <w:lvlJc w:val="left"/>
      <w:pPr>
        <w:tabs>
          <w:tab w:val="num" w:pos="0"/>
        </w:tabs>
        <w:ind w:left="3225" w:hanging="360"/>
      </w:pPr>
    </w:lvl>
    <w:lvl w:ilvl="4">
      <w:start w:val="1"/>
      <w:numFmt w:val="lowerLetter"/>
      <w:lvlText w:val="%5."/>
      <w:lvlJc w:val="left"/>
      <w:pPr>
        <w:tabs>
          <w:tab w:val="num" w:pos="0"/>
        </w:tabs>
        <w:ind w:left="3945" w:hanging="360"/>
      </w:pPr>
    </w:lvl>
    <w:lvl w:ilvl="5">
      <w:start w:val="1"/>
      <w:numFmt w:val="lowerRoman"/>
      <w:lvlText w:val="%6."/>
      <w:lvlJc w:val="right"/>
      <w:pPr>
        <w:tabs>
          <w:tab w:val="num" w:pos="0"/>
        </w:tabs>
        <w:ind w:left="4665" w:hanging="180"/>
      </w:pPr>
    </w:lvl>
    <w:lvl w:ilvl="6">
      <w:start w:val="1"/>
      <w:numFmt w:val="decimal"/>
      <w:lvlText w:val="%7."/>
      <w:lvlJc w:val="left"/>
      <w:pPr>
        <w:tabs>
          <w:tab w:val="num" w:pos="0"/>
        </w:tabs>
        <w:ind w:left="5385" w:hanging="360"/>
      </w:pPr>
    </w:lvl>
    <w:lvl w:ilvl="7">
      <w:start w:val="1"/>
      <w:numFmt w:val="lowerLetter"/>
      <w:lvlText w:val="%8."/>
      <w:lvlJc w:val="left"/>
      <w:pPr>
        <w:tabs>
          <w:tab w:val="num" w:pos="0"/>
        </w:tabs>
        <w:ind w:left="6105" w:hanging="360"/>
      </w:pPr>
    </w:lvl>
    <w:lvl w:ilvl="8">
      <w:start w:val="1"/>
      <w:numFmt w:val="lowerRoman"/>
      <w:lvlText w:val="%9."/>
      <w:lvlJc w:val="right"/>
      <w:pPr>
        <w:tabs>
          <w:tab w:val="num" w:pos="0"/>
        </w:tabs>
        <w:ind w:left="6825" w:hanging="180"/>
      </w:pPr>
    </w:lvl>
  </w:abstractNum>
  <w:abstractNum w:abstractNumId="2">
    <w:lvl w:ilvl="0">
      <w:start w:val="1"/>
      <w:numFmt w:val="decimal"/>
      <w:lvlText w:val="%1."/>
      <w:lvlJc w:val="left"/>
      <w:pPr>
        <w:tabs>
          <w:tab w:val="num" w:pos="0"/>
        </w:tabs>
        <w:ind w:left="1065" w:hanging="360"/>
      </w:pPr>
    </w:lvl>
    <w:lvl w:ilvl="1">
      <w:start w:val="1"/>
      <w:numFmt w:val="lowerLetter"/>
      <w:lvlText w:val="%2."/>
      <w:lvlJc w:val="left"/>
      <w:pPr>
        <w:tabs>
          <w:tab w:val="num" w:pos="0"/>
        </w:tabs>
        <w:ind w:left="1785" w:hanging="360"/>
      </w:pPr>
    </w:lvl>
    <w:lvl w:ilvl="2">
      <w:start w:val="1"/>
      <w:numFmt w:val="lowerRoman"/>
      <w:lvlText w:val="%3."/>
      <w:lvlJc w:val="right"/>
      <w:pPr>
        <w:tabs>
          <w:tab w:val="num" w:pos="0"/>
        </w:tabs>
        <w:ind w:left="2505" w:hanging="180"/>
      </w:pPr>
    </w:lvl>
    <w:lvl w:ilvl="3">
      <w:start w:val="1"/>
      <w:numFmt w:val="decimal"/>
      <w:lvlText w:val="%4."/>
      <w:lvlJc w:val="left"/>
      <w:pPr>
        <w:tabs>
          <w:tab w:val="num" w:pos="0"/>
        </w:tabs>
        <w:ind w:left="3225" w:hanging="360"/>
      </w:pPr>
    </w:lvl>
    <w:lvl w:ilvl="4">
      <w:start w:val="1"/>
      <w:numFmt w:val="lowerLetter"/>
      <w:lvlText w:val="%5."/>
      <w:lvlJc w:val="left"/>
      <w:pPr>
        <w:tabs>
          <w:tab w:val="num" w:pos="0"/>
        </w:tabs>
        <w:ind w:left="3945" w:hanging="360"/>
      </w:pPr>
    </w:lvl>
    <w:lvl w:ilvl="5">
      <w:start w:val="1"/>
      <w:numFmt w:val="lowerRoman"/>
      <w:lvlText w:val="%6."/>
      <w:lvlJc w:val="right"/>
      <w:pPr>
        <w:tabs>
          <w:tab w:val="num" w:pos="0"/>
        </w:tabs>
        <w:ind w:left="4665" w:hanging="180"/>
      </w:pPr>
    </w:lvl>
    <w:lvl w:ilvl="6">
      <w:start w:val="1"/>
      <w:numFmt w:val="decimal"/>
      <w:lvlText w:val="%7."/>
      <w:lvlJc w:val="left"/>
      <w:pPr>
        <w:tabs>
          <w:tab w:val="num" w:pos="0"/>
        </w:tabs>
        <w:ind w:left="5385" w:hanging="360"/>
      </w:pPr>
    </w:lvl>
    <w:lvl w:ilvl="7">
      <w:start w:val="1"/>
      <w:numFmt w:val="lowerLetter"/>
      <w:lvlText w:val="%8."/>
      <w:lvlJc w:val="left"/>
      <w:pPr>
        <w:tabs>
          <w:tab w:val="num" w:pos="0"/>
        </w:tabs>
        <w:ind w:left="6105" w:hanging="360"/>
      </w:pPr>
    </w:lvl>
    <w:lvl w:ilvl="8">
      <w:start w:val="1"/>
      <w:numFmt w:val="lowerRoman"/>
      <w:lvlText w:val="%9."/>
      <w:lvlJc w:val="right"/>
      <w:pPr>
        <w:tabs>
          <w:tab w:val="num" w:pos="0"/>
        </w:tabs>
        <w:ind w:left="6825" w:hanging="180"/>
      </w:p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2"/>
    <w:lvlOverride w:ilvl="0">
      <w:startOverride w:val="1"/>
    </w:lvlOverride>
  </w:num>
  <w:num w:numId="5">
    <w:abstractNumId w:val="2"/>
  </w:num>
</w:numbering>
</file>

<file path=word/settings.xml><?xml version="1.0" encoding="utf-8"?>
<w:settings xmlns:w="http://schemas.openxmlformats.org/wordprocessingml/2006/main">
  <w:zoom w:percent="134"/>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50286"/>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name w:val="Интернет-ссылка"/>
    <w:basedOn w:val="DefaultParagraphFont"/>
    <w:uiPriority w:val="99"/>
    <w:unhideWhenUsed/>
    <w:rsid w:val="00d50286"/>
    <w:rPr>
      <w:color w:val="0563C1" w:themeColor="hyperlink"/>
      <w:u w:val="single"/>
    </w:rPr>
  </w:style>
  <w:style w:type="character" w:styleId="Style15" w:customStyle="1">
    <w:name w:val="Верхний колонтитул Знак"/>
    <w:basedOn w:val="DefaultParagraphFont"/>
    <w:link w:val="a6"/>
    <w:uiPriority w:val="99"/>
    <w:qFormat/>
    <w:rsid w:val="00d44b04"/>
    <w:rPr/>
  </w:style>
  <w:style w:type="character" w:styleId="Style16" w:customStyle="1">
    <w:name w:val="Нижний колонтитул Знак"/>
    <w:basedOn w:val="DefaultParagraphFont"/>
    <w:link w:val="a8"/>
    <w:uiPriority w:val="99"/>
    <w:qFormat/>
    <w:rsid w:val="00d44b04"/>
    <w:rPr/>
  </w:style>
  <w:style w:type="character" w:styleId="Style17" w:customStyle="1">
    <w:name w:val="Текст выноски Знак"/>
    <w:basedOn w:val="DefaultParagraphFont"/>
    <w:link w:val="aa"/>
    <w:uiPriority w:val="99"/>
    <w:semiHidden/>
    <w:qFormat/>
    <w:rsid w:val="006b7e56"/>
    <w:rPr>
      <w:rFonts w:ascii="Segoe UI" w:hAnsi="Segoe UI" w:cs="Segoe UI"/>
      <w:sz w:val="18"/>
      <w:szCs w:val="18"/>
    </w:rPr>
  </w:style>
  <w:style w:type="paragraph" w:styleId="Style18">
    <w:name w:val="Заголовок"/>
    <w:basedOn w:val="Normal"/>
    <w:next w:val="Style19"/>
    <w:qFormat/>
    <w:pPr>
      <w:keepNext w:val="true"/>
      <w:spacing w:before="240" w:after="120"/>
    </w:pPr>
    <w:rPr>
      <w:rFonts w:ascii="Liberation Sans" w:hAnsi="Liberation Sans" w:eastAsia="Microsoft YaHei" w:cs="Arial"/>
      <w:sz w:val="28"/>
      <w:szCs w:val="28"/>
    </w:rPr>
  </w:style>
  <w:style w:type="paragraph" w:styleId="Style19">
    <w:name w:val="Body Text"/>
    <w:basedOn w:val="Normal"/>
    <w:pPr>
      <w:spacing w:lineRule="auto" w:line="276" w:before="0" w:after="140"/>
    </w:pPr>
    <w:rPr/>
  </w:style>
  <w:style w:type="paragraph" w:styleId="Style20">
    <w:name w:val="List"/>
    <w:basedOn w:val="Style19"/>
    <w:pPr/>
    <w:rPr>
      <w:rFonts w:cs="Arial"/>
    </w:rPr>
  </w:style>
  <w:style w:type="paragraph" w:styleId="Style21">
    <w:name w:val="Caption"/>
    <w:basedOn w:val="Normal"/>
    <w:qFormat/>
    <w:pPr>
      <w:suppressLineNumbers/>
      <w:spacing w:before="120" w:after="120"/>
    </w:pPr>
    <w:rPr>
      <w:rFonts w:cs="Arial"/>
      <w:i/>
      <w:iCs/>
      <w:sz w:val="24"/>
      <w:szCs w:val="24"/>
    </w:rPr>
  </w:style>
  <w:style w:type="paragraph" w:styleId="Style22">
    <w:name w:val="Указатель"/>
    <w:basedOn w:val="Normal"/>
    <w:qFormat/>
    <w:pPr>
      <w:suppressLineNumbers/>
    </w:pPr>
    <w:rPr>
      <w:rFonts w:cs="Arial"/>
      <w:lang w:val="zxx" w:eastAsia="zxx" w:bidi="zxx"/>
    </w:rPr>
  </w:style>
  <w:style w:type="paragraph" w:styleId="ListParagraph">
    <w:name w:val="List Paragraph"/>
    <w:basedOn w:val="Normal"/>
    <w:uiPriority w:val="34"/>
    <w:qFormat/>
    <w:rsid w:val="00d50286"/>
    <w:pPr>
      <w:spacing w:before="0" w:after="200"/>
      <w:ind w:left="720" w:hanging="0"/>
      <w:contextualSpacing/>
    </w:pPr>
    <w:rPr/>
  </w:style>
  <w:style w:type="paragraph" w:styleId="Style23">
    <w:name w:val="Колонтитул"/>
    <w:basedOn w:val="Normal"/>
    <w:qFormat/>
    <w:pPr/>
    <w:rPr/>
  </w:style>
  <w:style w:type="paragraph" w:styleId="Style24">
    <w:name w:val="Header"/>
    <w:basedOn w:val="Normal"/>
    <w:link w:val="a7"/>
    <w:uiPriority w:val="99"/>
    <w:unhideWhenUsed/>
    <w:rsid w:val="00d44b04"/>
    <w:pPr>
      <w:tabs>
        <w:tab w:val="clear" w:pos="708"/>
        <w:tab w:val="center" w:pos="4677" w:leader="none"/>
        <w:tab w:val="right" w:pos="9355" w:leader="none"/>
      </w:tabs>
      <w:spacing w:lineRule="auto" w:line="240" w:before="0" w:after="0"/>
    </w:pPr>
    <w:rPr/>
  </w:style>
  <w:style w:type="paragraph" w:styleId="Style25">
    <w:name w:val="Footer"/>
    <w:basedOn w:val="Normal"/>
    <w:link w:val="a9"/>
    <w:uiPriority w:val="99"/>
    <w:unhideWhenUsed/>
    <w:rsid w:val="00d44b04"/>
    <w:pPr>
      <w:tabs>
        <w:tab w:val="clear" w:pos="708"/>
        <w:tab w:val="center" w:pos="4677" w:leader="none"/>
        <w:tab w:val="right" w:pos="9355" w:leader="none"/>
      </w:tabs>
      <w:spacing w:lineRule="auto" w:line="240" w:before="0" w:after="0"/>
    </w:pPr>
    <w:rPr/>
  </w:style>
  <w:style w:type="paragraph" w:styleId="BalloonText">
    <w:name w:val="Balloon Text"/>
    <w:basedOn w:val="Normal"/>
    <w:link w:val="ab"/>
    <w:uiPriority w:val="99"/>
    <w:semiHidden/>
    <w:unhideWhenUsed/>
    <w:qFormat/>
    <w:rsid w:val="006b7e56"/>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5">
    <w:name w:val="Table Grid"/>
    <w:basedOn w:val="a1"/>
    <w:uiPriority w:val="39"/>
    <w:rsid w:val="00ff6a1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8733A-3751-4AA3-A93E-9FEBF914B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Application>LibreOffice/7.2.5.2$Windows_X86_64 LibreOffice_project/499f9727c189e6ef3471021d6132d4c694f357e5</Application>
  <AppVersion>15.0000</AppVersion>
  <Pages>8</Pages>
  <Words>2171</Words>
  <Characters>16210</Characters>
  <CharactersWithSpaces>18423</CharactersWithSpaces>
  <Paragraphs>68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2025-08-26T11:38:00Z</dcterms:created>
  <dc:creator>Крюков Владимир Витальевич</dc:creator>
  <dc:description/>
  <dc:language>ru-RU</dc:language>
  <cp:lastModifiedBy/>
  <cp:lastPrinted>2025-08-28T12:03:00Z</cp:lastPrinted>
  <dcterms:modified xsi:type="dcterms:W3CDTF">2025-09-04T10:06:31Z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file>