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before="0" w:after="0"/>
        <w:contextualSpacing/>
        <w:rPr>
          <w:sz w:val="25"/>
          <w:szCs w:val="25"/>
        </w:rPr>
      </w:pPr>
      <w:r>
        <w:rPr>
          <w:sz w:val="25"/>
          <w:szCs w:val="25"/>
        </w:rP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1094105</wp:posOffset>
            </wp:positionH>
            <wp:positionV relativeFrom="paragraph">
              <wp:posOffset>298450</wp:posOffset>
            </wp:positionV>
            <wp:extent cx="781050" cy="823595"/>
            <wp:effectExtent l="0" t="0" r="0" b="0"/>
            <wp:wrapTopAndBottom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RAPHIC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82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 w:val="false"/>
        <w:rPr>
          <w:sz w:val="25"/>
          <w:szCs w:val="25"/>
        </w:rPr>
      </w:pPr>
      <w:r>
        <w:rPr>
          <w:sz w:val="25"/>
          <w:szCs w:val="25"/>
        </w:rPr>
      </w:r>
    </w:p>
    <w:tbl>
      <w:tblPr>
        <w:tblW w:w="976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085"/>
        <w:gridCol w:w="4682"/>
      </w:tblGrid>
      <w:tr>
        <w:trPr>
          <w:trHeight w:val="2831" w:hRule="atLeast"/>
        </w:trPr>
        <w:tc>
          <w:tcPr>
            <w:tcW w:w="5085" w:type="dxa"/>
            <w:tcBorders/>
          </w:tcPr>
          <w:p>
            <w:pPr>
              <w:pStyle w:val="Style17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ФЕДЕРАЛЬНАЯ</w:t>
            </w:r>
          </w:p>
          <w:p>
            <w:pPr>
              <w:pStyle w:val="Style17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АНТИМОНОПОЛЬНАЯ СЛУЖБА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 xml:space="preserve">УПРАВЛЕНИЕ 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Федеральной антимонопольной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службы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по Псковской области</w:t>
            </w:r>
          </w:p>
          <w:p>
            <w:pPr>
              <w:pStyle w:val="Normal"/>
              <w:widowControl w:val="false"/>
              <w:jc w:val="center"/>
              <w:rPr>
                <w:b/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ул. Кузнецкая, 13, г. Псков, 180017</w:t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тел./факс (8112) 66-55-53</w:t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  <w:lang w:val="en-US"/>
              </w:rPr>
            </w:pPr>
            <w:r>
              <w:rPr>
                <w:sz w:val="25"/>
                <w:szCs w:val="25"/>
                <w:lang w:val="en-US"/>
              </w:rPr>
              <w:t xml:space="preserve">e-mail: </w:t>
            </w:r>
            <w:hyperlink r:id="rId3">
              <w:r>
                <w:rPr>
                  <w:sz w:val="25"/>
                  <w:szCs w:val="25"/>
                  <w:lang w:val="en-US"/>
                </w:rPr>
                <w:t>to60@fas.gov.ru</w:t>
              </w:r>
            </w:hyperlink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  <w:u w:val="single"/>
              </w:rPr>
              <w:t xml:space="preserve">                    </w:t>
            </w:r>
            <w:r>
              <w:rPr>
                <w:sz w:val="25"/>
                <w:szCs w:val="25"/>
              </w:rPr>
              <w:t xml:space="preserve">  № </w:t>
            </w:r>
            <w:r>
              <w:rPr>
                <w:sz w:val="25"/>
                <w:szCs w:val="25"/>
              </w:rPr>
              <w:t>________</w:t>
            </w:r>
            <w:r>
              <w:rPr>
                <w:sz w:val="25"/>
                <w:szCs w:val="25"/>
                <w:u w:val="single"/>
              </w:rPr>
              <w:t xml:space="preserve">         </w:t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  <w:u w:val="single"/>
              </w:rPr>
            </w:pPr>
            <w:r>
              <w:rPr>
                <w:sz w:val="25"/>
                <w:szCs w:val="25"/>
                <w:u w:val="single"/>
              </w:rPr>
            </w:r>
          </w:p>
          <w:p>
            <w:pPr>
              <w:pStyle w:val="Normal"/>
              <w:widowControl w:val="false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  <w:tc>
          <w:tcPr>
            <w:tcW w:w="4682" w:type="dxa"/>
            <w:tcBorders/>
          </w:tcPr>
          <w:p>
            <w:pPr>
              <w:pStyle w:val="BodyText3"/>
              <w:widowControl w:val="false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</w:r>
          </w:p>
        </w:tc>
      </w:tr>
    </w:tbl>
    <w:p>
      <w:pPr>
        <w:pStyle w:val="Normal"/>
        <w:widowControl w:val="false"/>
        <w:spacing w:before="0" w:after="0"/>
        <w:contextualSpacing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widowControl w:val="false"/>
        <w:spacing w:before="0" w:after="0"/>
        <w:contextualSpacing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fldChar w:fldCharType="begin"/>
      </w:r>
      <w:r>
        <w:rPr>
          <w:sz w:val="26"/>
          <w:b/>
          <w:szCs w:val="26"/>
        </w:rPr>
        <w:instrText xml:space="preserve"> SEQ CHAPTER \* ARABIC </w:instrText>
      </w:r>
      <w:r>
        <w:rPr>
          <w:sz w:val="26"/>
          <w:b/>
          <w:szCs w:val="26"/>
        </w:rPr>
        <w:fldChar w:fldCharType="separate"/>
      </w:r>
      <w:r>
        <w:rPr>
          <w:sz w:val="26"/>
          <w:b/>
          <w:szCs w:val="26"/>
        </w:rPr>
        <w:t>1</w:t>
      </w:r>
      <w:r>
        <w:rPr>
          <w:sz w:val="26"/>
          <w:b/>
          <w:szCs w:val="26"/>
        </w:rPr>
        <w:fldChar w:fldCharType="end"/>
      </w:r>
      <w:r>
        <w:rPr>
          <w:b/>
          <w:sz w:val="26"/>
          <w:szCs w:val="26"/>
        </w:rPr>
        <w:t>РЕШЕНИЕ № РНП 060/06/104-148/2026</w:t>
      </w:r>
    </w:p>
    <w:p>
      <w:pPr>
        <w:pStyle w:val="Normal"/>
        <w:widowControl w:val="false"/>
        <w:spacing w:before="0" w:after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об отказе во включении сведений об участнике закупки в реестр недобросовестных поставщиков</w:t>
      </w:r>
    </w:p>
    <w:p>
      <w:pPr>
        <w:pStyle w:val="Normal"/>
        <w:widowControl w:val="false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</w:r>
    </w:p>
    <w:p>
      <w:pPr>
        <w:pStyle w:val="Normal"/>
        <w:widowControl w:val="false"/>
        <w:jc w:val="both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 xml:space="preserve">«29» апреля 2026 года                                                                                         </w:t>
      </w:r>
      <w:r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. Псков</w:t>
      </w:r>
    </w:p>
    <w:p>
      <w:pPr>
        <w:pStyle w:val="BodyText3"/>
        <w:widowControl w:val="false"/>
        <w:ind w:firstLine="708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BodyText3"/>
        <w:widowControl w:val="false"/>
        <w:ind w:firstLine="708"/>
        <w:rPr>
          <w:sz w:val="26"/>
          <w:szCs w:val="26"/>
        </w:rPr>
      </w:pPr>
      <w:r>
        <w:rPr>
          <w:sz w:val="26"/>
          <w:szCs w:val="26"/>
        </w:rPr>
        <w:t>Комиссия Псковского УФАС России по контролю в сфере закупок (далее – Комиссия) в составе:</w:t>
      </w:r>
    </w:p>
    <w:p>
      <w:pPr>
        <w:pStyle w:val="BodyText3"/>
        <w:widowControl w:val="false"/>
        <w:spacing w:before="0" w:after="0"/>
        <w:ind w:firstLine="708"/>
        <w:contextualSpacing/>
        <w:rPr>
          <w:sz w:val="26"/>
          <w:szCs w:val="26"/>
        </w:rPr>
      </w:pPr>
      <w:r>
        <w:rPr/>
      </w:r>
    </w:p>
    <w:p>
      <w:pPr>
        <w:pStyle w:val="BodyText3"/>
        <w:widowControl w:val="false"/>
        <w:spacing w:before="0" w:after="0"/>
        <w:ind w:firstLine="708"/>
        <w:contextualSpacing/>
        <w:rPr>
          <w:sz w:val="26"/>
          <w:szCs w:val="26"/>
        </w:rPr>
      </w:pPr>
      <w:r>
        <w:rPr>
          <w:sz w:val="26"/>
          <w:szCs w:val="26"/>
        </w:rPr>
        <w:t>рассмотрев сведения, с использованием видеоконференции, направленные Заказчик</w:t>
      </w:r>
      <w:r>
        <w:rPr>
          <w:sz w:val="26"/>
          <w:szCs w:val="26"/>
        </w:rPr>
        <w:t>ом</w:t>
      </w:r>
      <w:r>
        <w:rPr>
          <w:sz w:val="26"/>
          <w:szCs w:val="26"/>
        </w:rPr>
        <w:t xml:space="preserve"> в отношении Общества с ограниченной ответственностью "П-Т" (адрес: 180020, Псковская область, г. Псков, ул. Ижорского Батальона, д. 40А, ИНН: 6027139473), для включения в реестр недобросовестных поставщиков, в связи с уклонением от подписания контракта на оказание услуг по текущему ремонту и проведению экспертизы промышленной безопасности сосуда работающего под давлением (Газификатор ГХК-3/1, 6-200) (регистрационный номер 323-А-ГЗ) (номер извещения: 0157200000326000289),</w:t>
      </w:r>
    </w:p>
    <w:p>
      <w:pPr>
        <w:pStyle w:val="BodyText3"/>
        <w:widowControl w:val="false"/>
        <w:spacing w:before="0" w:after="0"/>
        <w:ind w:firstLine="708"/>
        <w:contextualSpacing/>
        <w:rPr>
          <w:b/>
          <w:b/>
          <w:sz w:val="18"/>
          <w:szCs w:val="26"/>
        </w:rPr>
      </w:pPr>
      <w:r>
        <w:rPr>
          <w:color w:val="000000"/>
          <w:sz w:val="26"/>
          <w:szCs w:val="26"/>
        </w:rPr>
        <w:t xml:space="preserve"> </w:t>
      </w:r>
    </w:p>
    <w:p>
      <w:pPr>
        <w:pStyle w:val="BodyText3"/>
        <w:widowControl w:val="false"/>
        <w:spacing w:before="0" w:after="0"/>
        <w:contextualSpacing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УСТАНОВИЛА:</w:t>
      </w:r>
    </w:p>
    <w:p>
      <w:pPr>
        <w:pStyle w:val="BodyText3"/>
        <w:widowControl w:val="false"/>
        <w:spacing w:before="0" w:after="0"/>
        <w:contextualSpacing/>
        <w:jc w:val="center"/>
        <w:rPr>
          <w:b/>
          <w:b/>
          <w:sz w:val="18"/>
          <w:szCs w:val="26"/>
        </w:rPr>
      </w:pPr>
      <w:r>
        <w:rPr>
          <w:b/>
          <w:sz w:val="18"/>
          <w:szCs w:val="26"/>
        </w:rPr>
      </w:r>
    </w:p>
    <w:p>
      <w:pPr>
        <w:pStyle w:val="Normal"/>
        <w:widowControl w:val="false"/>
        <w:spacing w:before="0" w:after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24 апреля 2026 года в адрес Псковского УФАС России поступили сведения от Заказчика в отношении Общества с ограниченной ответственностью "П-Т" (далее – Общество) (адрес: 180020, Псковская область, г. Псков, ул. Ижорского Батальона, д. 40А, ИНН: 6027139473), для включения в реестр недобросовестных поставщиков, в связи с уклонением от подписания контракта на оказание услуг по текущему ремонту и проведению экспертизы промышленной безопасности сосуда работающего под давлением (Газификатор ГХК-3/1, 6-200) (регистрационный номер 323-А-ГЗ) (номер извещения: 0157200000326000289).  </w:t>
      </w:r>
    </w:p>
    <w:p>
      <w:pPr>
        <w:pStyle w:val="Normal"/>
        <w:widowControl w:val="false"/>
        <w:spacing w:before="0" w:after="0"/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Рассмотрение сведений состоялось 29 апреля 2026 года в 11 часов 00 минут. </w:t>
      </w:r>
    </w:p>
    <w:p>
      <w:pPr>
        <w:pStyle w:val="BodyText3"/>
        <w:widowControl w:val="false"/>
        <w:spacing w:before="0" w:after="0"/>
        <w:ind w:firstLine="708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1) Дата размещения в Единой информационной системе (далее – ЕИС) на сайте в сети Интернет www.zakupki.gov.ru извещения № 0157200000326000289 о проведении электронного аукциона – </w:t>
      </w:r>
      <w:r>
        <w:rPr>
          <w:rStyle w:val="Sectioninfo"/>
          <w:sz w:val="26"/>
          <w:szCs w:val="26"/>
        </w:rPr>
        <w:t>03.04.2026 17:14</w:t>
      </w:r>
      <w:r>
        <w:rPr>
          <w:sz w:val="26"/>
          <w:szCs w:val="26"/>
        </w:rPr>
        <w:t xml:space="preserve">. 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2) Максимальное значение цены контракта: </w:t>
      </w:r>
      <w:r>
        <w:rPr>
          <w:rStyle w:val="Cardmaininfocontent"/>
          <w:sz w:val="26"/>
          <w:szCs w:val="26"/>
        </w:rPr>
        <w:t>990 396,00</w:t>
      </w:r>
      <w:r>
        <w:rPr>
          <w:sz w:val="26"/>
          <w:szCs w:val="26"/>
        </w:rPr>
        <w:t xml:space="preserve"> рублей,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3) Оператор электронной площадки – </w:t>
      </w:r>
      <w:r>
        <w:rPr>
          <w:rStyle w:val="Sectioninfo"/>
          <w:sz w:val="26"/>
          <w:szCs w:val="26"/>
        </w:rPr>
        <w:t>ЭТП Газпромбанк</w:t>
      </w:r>
      <w:r>
        <w:rPr>
          <w:sz w:val="26"/>
          <w:szCs w:val="26"/>
        </w:rPr>
        <w:t>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4) Согласно протоколу подведения итогов определения поставщика (подрядчика, исполнителя) </w:t>
      </w:r>
      <w:r>
        <w:rPr>
          <w:rStyle w:val="Cardmaininfostate"/>
          <w:sz w:val="26"/>
          <w:szCs w:val="26"/>
        </w:rPr>
        <w:t>от 13.04.2026 №ИЭА1</w:t>
      </w:r>
      <w:r>
        <w:rPr>
          <w:sz w:val="26"/>
          <w:szCs w:val="26"/>
        </w:rPr>
        <w:t>, на участие в электронном аукционе была подана 1 (одна) заявка, соответствующая требованиям извещения. Победителем электронного аукциона комиссия признала единственного участника закупки с идентификационным № 60 с предложением цены контракта 990 396,00 рублей.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5) 23.04.2026 Заказчиком размещен протокол признания участника уклонившимся от заключения контракта № ППУ20_1.</w:t>
      </w:r>
    </w:p>
    <w:p>
      <w:pPr>
        <w:pStyle w:val="Normal"/>
        <w:widowControl w:val="false"/>
        <w:spacing w:before="0" w:after="0"/>
        <w:contextualSpacing/>
        <w:jc w:val="both"/>
        <w:rPr>
          <w:b/>
          <w:b/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Комиссия Псковского УФАС России по контролю в сфере закупок, изучив материалы дела, установила следующее: 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частью 2 статьи 104 Закона о контрактной системе в реестр недобросовестных поставщиков (подрядчиков, исполнителей)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Согласно части 3 статьи 51 Закона о контрактной системе не позднее пяти рабочих дней, следующих за днем размещения заказчиком в соответствии с частью 2 настоящей статьи проекта контракта, участник закупки, с которым заключается контракт, осуществляет одно из следующих действий: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1)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и в единой информационной системе (с использованием электронной площадки, без размещения на официальном сайте) подписанный проект контракта, а также документ, подтверждающий предоставление обеспечения исполнения контракта в соответствии с настоящим Федеральным законом (за исключением случаев, предусмотренных настоящим Федеральным законом). При этом такой участник закупки: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а) в случаях, предусмотренных статьей 37 настоящего Федерального закона, одновременно представляет заказчику информацию и документы, предусмотренные указанной статьей;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б) вносит на счет, на котором в соответствии с законодательством Российской Федерации учитываются операции со средствами, поступающими заказчику, денежные средства в размере платы, подлежащей внесению за заключение контракта, предложенной таким участником закупки (если по результатам определения поставщика (подрядчика, исполнителя) в соответствии с настоящим Федеральным законом определен размер платы, подлежащей внесению участником закупки за заключение контракта);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2)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и в единой информационной системе (с использованием электронной площадки, без размещения на официальном сайте) протокол разногласий в одном или нескольких из следующих случаев: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а) наличие разногласий в отношении информации, включенной в проект контракта в соответствии с пунктом 1 части 2 настоящей статьи, с указанием информации, не соответствующей требованиям, установленным в извещении об осуществлении закупки, и положениям заявки такого участника закупки;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 б) несогласие заключить контракт, содержащий условия, предусмотренные пунктом 2 части 2 настоящей статьи;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 3) формирует, подписывает усиленной электронной подписью лица, имеющего право действовать от имени участника закупки, и размещает на электронной площадке отказ от заключения контракта в случае, предусмотренном пунктом 1 части 17.2 статьи 95 настоящего Федерального закона.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ч.ч. 4, 5 ст. 96 Закона о контрактной системе контракт заключается после предоставления участником закупки, с которым заключается контракт, обеспечения исполнения контракта в соответствии с настоящим Федеральным законом. В случае непредоставления участником закупки, с которым заключается контракт, обеспечения исполнения контракта в срок, установленный для заключения контракта, такой участник считается уклонившимся от заключения контракта.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Исполнение контракта может обеспечиваться предоставлением независимой гарантии, выданной банком и соответствующей требованиям ст. 45 Закона о контрактной системе, или внесением денежных средств на указанный заказчиком счет, на котором в соответствии с законодательством Российской Федерации учитываются операции со средствами, поступающими заказчику. Способ обеспечения исполнения контракта, гарантийных обязательств, срок действия независимой гарантии определяются в соответствии с требованиями Закона о контрактной системе участником закупки, с которым заключается контракт, самостоятельно.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Участник закупки, с которым заключается контракт по результатам определения поставщика (подрядчика, исполнителя) в соответствии с п. 1 ч. 1 ст. 30 Закона о контрактной системе, освобождается от предоставления обеспечения исполнения контракта, в том числе с учетом положений ст. 37 Закона о контрактной системе, в случае предоставления таким участником закупки информации, содержащейся в реестре контрактов, заключенных заказчиками, и подтверждающей исполнение таким участником (без учета правопреемства) в течение трех лет до даты подачи заявки на участие в закупке трех контрактов, исполненных без применения к такому участнику неустоек (штрафов, пеней). Такая информация представляется участником закупки до заключения контракта в случаях, установленных Закона о контрактной системе для предоставления обеспечения исполнения контракта. При этом сумма цен таких контрактов должна составлять не менее начальной (максимальной) цены контракта, указанной в извещении об осуществлении закупки и документации о закупке (ч. 8.1 ст. 96 Закона о контрактной системе).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Уклонение от заключения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Основанием для включения сведений в реестр недобросовестных поставщиков (подрядчиков, исполнителей) является такое уклонение лица от заключения контракта, которое предполагает его недобросовестное поведение, совершение им действий (бездействий) в противоречие требованиям Закона о контрактной системе, в том числе приведших к невозможности заключения контракта с этим лицом как с признанным победителем аукциона, и, как следствие, нарушающих, права заказчика относительно условий и срока исполнения контракта, которые связаны, прежде всего, с эффективным использованием бюджетных средств, что приводит к нарушению обеспечения публичных интересов в указанных правоотношениях.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Реестр недобросовестных поставщиков (подрядчиков, исполнителей) является специальной мерой государственного принуждения, установленной законодателем в целях обеспечения добросовестного исполнения участником закупки принятых на себя в рамках контрактной системы обязательств.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Другим немаловажным последствием является умаление деловой репутации, поскольку фактом включения юридического лица в федеральный реестр недобросовестных поставщиков опровергается презумпция добросовестности такого лица как участника гражданских правоотношений.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При этом, реестр недобросовестных поставщиков служит инструментом, направленным на развитие конкуренции и предотвращение злоупотреблений в сфере закупок, и, следовательно, является механизмом защиты публичных интересов.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Такой правовой подход подлежит применению и в данном случае, тем более что последствия по наложению санкции в виде включения сведений о лице в Реестр недобросовестных поставщиков (подрядчиков, исполнителей) могут иметь серьезный экономический характер.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  <w:t>В соответствии с подпунктом «б» пункта 14 Постановления Правительства РФ от 30 июня 2021 г. № 1078 «О порядке ведения реестра недобросовестных поставщиков (подрядчиков, 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- Постановление Правительства РФ от 30 июня 2021 г. № 1078), орган контроля принимает решение об отказе во включении информации об участнике закупки (если основанием для направления обращения является уклонение участника закупки от заключения контракта) в реестр, если в результате проведения проверок, предусмотренных подпунктом «а» пункта 13 Правил, участником закупки в срок до признания его в соответствии с Законом о контрактной системе уклонившимся от заключения контракта осуществлены действия, свидетельствующие об отсутствии намерения уклониться от заключения контракта.</w:t>
      </w:r>
    </w:p>
    <w:p>
      <w:pPr>
        <w:pStyle w:val="Normal"/>
        <w:widowControl w:val="false"/>
        <w:spacing w:before="0" w:after="0"/>
        <w:contextualSpacing/>
        <w:jc w:val="both"/>
        <w:rPr>
          <w:sz w:val="10"/>
          <w:szCs w:val="26"/>
        </w:rPr>
      </w:pPr>
      <w:r>
        <w:rPr>
          <w:sz w:val="10"/>
          <w:szCs w:val="26"/>
        </w:rPr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>14.04.2026</w:t>
      </w:r>
      <w:r>
        <w:rPr>
          <w:sz w:val="26"/>
          <w:szCs w:val="26"/>
        </w:rPr>
        <w:t xml:space="preserve"> Заказчик направил проект контракта Обществу.</w:t>
      </w:r>
    </w:p>
    <w:p>
      <w:pPr>
        <w:pStyle w:val="Normal"/>
        <w:widowControl w:val="false"/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b/>
          <w:sz w:val="26"/>
          <w:szCs w:val="26"/>
        </w:rPr>
        <w:t xml:space="preserve">23.04.2026 </w:t>
      </w:r>
      <w:r>
        <w:rPr>
          <w:sz w:val="26"/>
          <w:szCs w:val="26"/>
        </w:rPr>
        <w:t xml:space="preserve">Заказчиком размещен протокол признания участника уклонившимся от заключения контракта № ППУ20_1, в связи с не подписанием контракта в регламентированные площадкой сроки. 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Согласно пояснениям Общества, победитель не имел умысла на уклонение от заключения контракта. Контракт был подписан 21.04.2026, но в части обеспечения, ввиду невнимательности и человеческого фактора, возникла непредвиденная проблема: сотрудник, на которого была возложена обязанность по тендерному сопровождению контракта, не проявил должной осмотрительности и неверно приложил реестр контракта в качестве подтверждения добросовестности.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Заказчик был уведомлен о произошедшей ситуации письмом исх. № 357 от 23.04.2026, в котором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en-US"/>
        </w:rPr>
        <w:t>п</w:t>
      </w:r>
      <w:r>
        <w:rPr>
          <w:sz w:val="26"/>
          <w:szCs w:val="26"/>
          <w:lang w:val="en-US"/>
        </w:rPr>
        <w:t>оставщ</w:t>
      </w:r>
      <w:r>
        <w:rPr>
          <w:sz w:val="26"/>
          <w:szCs w:val="26"/>
          <w:lang w:val="ru-RU"/>
        </w:rPr>
        <w:t>ик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разъяснил произошедшее и подчеркнул, что не имел умысла на уклонение от заключения контракта.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Также, 23.04.2026 года Общество направило обеспечение исполнения контракта в размере 99 039,60 рублей, что подтверждается платежным поручением № 507 от 23.04.2026.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Комиссия отмечает, что в соответствии с предоставленными Обществом документами, к ответственному сотруднику было применено дисциплинарное взыскание в виде выговора.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сведениями, размещенными в ЕИС в разделе «Реестр контрактов», Общество имеет 279 контрактов, из которых: 214 исполнены, по </w:t>
      </w:r>
      <w:bookmarkStart w:id="0" w:name="_GoBack"/>
      <w:bookmarkEnd w:id="0"/>
      <w:r>
        <w:rPr>
          <w:sz w:val="26"/>
          <w:szCs w:val="26"/>
        </w:rPr>
        <w:t>65 исполнение прекращено. В реестр недобросовестных поставщиков сведения ранее не были включены/не поступали.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Заказчик на включении Общества в РНП не настаивает.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Уклонение от заключения контракта может выражаться как в совершении целенаправленных (умышленных) действий или бездействия, осуществленных с указанной целью, так и в их совершении по неосторожности, когда участник закупки не принимает необходимых мер по соблюдению норм и правил, необходимых для заключения контракта, то есть создает условия, влекущие невозможность подписания контракта.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Принимая решение об участии в процедуре закупки для государственных и муниципальных нужд и подавая соответствующую заявку, любое лицо несет риск наступления неблагоприятных для него последствий, предусмотренных Законом о контрактной системе, в случае совершения им действий (бездействия) в противоречие требованиям Закона о контрактной системе, в том числе приведших к невозможности заключения контракта с ним как с лицом, признанным победителем закупки.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Действуя в рамках заключения и исполнения государственного контракта, участник закупки должен осознавать то обстоятельство, что он вступает в правоотношения по расходованию бюджетных средств на общественные экономически значимые цели, то от участников, заявляющихся на подобные аукционы, требуется большая степень ответственности при исполнении своих обязанностей, вытекающих из конкретного контракта.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Реестр недобросовестных поставщиков является специальной мерой государственного принуждения, установленной законодателем в целях обеспечения добросовестного исполнения участником закупки, принятых на себя в рамках контрактной системы обязательств. Одним из последствий такого включения является ограничение прав такого лица на участие в течение установленного срока в государственных и муниципальных закупках.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Комиссия Псковского УФАС России, выслушав пояснения представителей Общества и Заказчика, изучив материалы дела в их совокупности, приходит к выводу, что в материалах дела отсутствуют бесспорные доказательства, из содержания которых становится очевидным, что действия Общества свидетельствуют в пользу недобросовестного поведения, а также свидетельствуют о наличии намерения уклониться от исполнения контракта. 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Таким образом, с учетом конкретных обстоятельств дела, Комиссия Псковского УФАС России приходит к выводу об отсутствии в поведении Общества признаков недобросовестности, в связи с чем считает возможным не включать сведения в реестр недобросовестных поставщиков.</w:t>
      </w:r>
    </w:p>
    <w:p>
      <w:pPr>
        <w:pStyle w:val="Normal"/>
        <w:widowControl w:val="false"/>
        <w:spacing w:before="0" w:after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статьей 104 Закона о контрактной системе и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 порядке ведения реестра недобросовестных поставщиков (подрядчиков, исполнителей) от 30 июня 2021 года № 1078, Комиссия Псковского УФАС России                                                               </w:t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contextualSpacing/>
        <w:jc w:val="both"/>
        <w:rPr>
          <w:sz w:val="18"/>
          <w:szCs w:val="26"/>
        </w:rPr>
      </w:pPr>
      <w:r>
        <w:rPr>
          <w:sz w:val="18"/>
          <w:szCs w:val="26"/>
        </w:rPr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contextualSpacing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РЕШИЛА:</w:t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contextualSpacing/>
        <w:jc w:val="both"/>
        <w:rPr>
          <w:sz w:val="18"/>
          <w:szCs w:val="26"/>
        </w:rPr>
      </w:pPr>
      <w:r>
        <w:rPr>
          <w:sz w:val="18"/>
          <w:szCs w:val="26"/>
        </w:rPr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ind w:firstLine="68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Сведения, направленные </w:t>
      </w:r>
      <w:r>
        <w:rPr>
          <w:sz w:val="26"/>
          <w:szCs w:val="26"/>
        </w:rPr>
        <w:t>Заказчиком</w:t>
      </w:r>
      <w:r>
        <w:rPr>
          <w:sz w:val="26"/>
          <w:szCs w:val="26"/>
        </w:rPr>
        <w:t xml:space="preserve"> в отношении Общества с ограниченной ответственностью "П-Т" (адрес: 180020, Псковская область, г. Псков, ул. Ижорского Батальона, д. 40А, ИНН: 6027139473), в связи с уклонением от подписания контракта на оказание услуг по текущему ремонту и проведению экспертизы промышленной безопасности сосуда работающего под давлением (Газификатор ГХК-3/1, 6-200) (регистрационный номер 323-А-ГЗ) (номер извещения: 0157200000326000289), в реестр недобросовестных поставщиков не включать.</w:t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ind w:firstLine="680"/>
        <w:contextualSpacing/>
        <w:jc w:val="both"/>
        <w:rPr>
          <w:sz w:val="26"/>
          <w:szCs w:val="26"/>
        </w:rPr>
      </w:pPr>
      <w:r>
        <w:rPr>
          <w:i/>
          <w:sz w:val="26"/>
          <w:szCs w:val="26"/>
        </w:rPr>
        <w:t>Настоящее решение может быть обжаловано в судебном порядке в течение трех месяцев со дня его принятия.</w:t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before="0" w:after="0"/>
        <w:ind w:firstLine="680"/>
        <w:contextualSpacing/>
        <w:jc w:val="both"/>
        <w:rPr>
          <w:sz w:val="26"/>
          <w:szCs w:val="26"/>
        </w:rPr>
      </w:pPr>
      <w:r>
        <w:rPr/>
      </w:r>
    </w:p>
    <w:p>
      <w:pPr>
        <w:pStyle w:val="Normal"/>
        <w:widowControl w:val="false"/>
        <w:tabs>
          <w:tab w:val="clear" w:pos="708"/>
          <w:tab w:val="left" w:pos="2131" w:leader="none"/>
        </w:tabs>
        <w:spacing w:lineRule="auto" w:line="240" w:before="0" w:after="0"/>
        <w:ind w:left="10" w:right="0" w:hanging="10"/>
        <w:contextualSpacing/>
        <w:jc w:val="both"/>
        <w:rPr>
          <w:sz w:val="26"/>
          <w:szCs w:val="26"/>
        </w:rPr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5140d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Основной текст 3 Знак"/>
    <w:basedOn w:val="DefaultParagraphFont"/>
    <w:link w:val="BodyText3"/>
    <w:qFormat/>
    <w:rsid w:val="0085140d"/>
    <w:rPr>
      <w:rFonts w:ascii="Times New Roman" w:hAnsi="Times New Roman" w:eastAsia="Times New Roman" w:cs="Times New Roman"/>
      <w:sz w:val="28"/>
      <w:szCs w:val="24"/>
      <w:lang w:eastAsia="ru-RU"/>
    </w:rPr>
  </w:style>
  <w:style w:type="character" w:styleId="IntenseEmphasis">
    <w:name w:val="Intense Emphasis"/>
    <w:basedOn w:val="DefaultParagraphFont"/>
    <w:uiPriority w:val="21"/>
    <w:qFormat/>
    <w:rsid w:val="009e1b8b"/>
    <w:rPr>
      <w:i/>
      <w:iCs/>
      <w:color w:val="5B9BD5" w:themeColor="accent1"/>
    </w:rPr>
  </w:style>
  <w:style w:type="character" w:styleId="Sectioninfo" w:customStyle="1">
    <w:name w:val="section__info"/>
    <w:basedOn w:val="DefaultParagraphFont"/>
    <w:qFormat/>
    <w:rsid w:val="00c65d69"/>
    <w:rPr/>
  </w:style>
  <w:style w:type="character" w:styleId="Cardmaininfocontent" w:customStyle="1">
    <w:name w:val="cardmaininfo__content"/>
    <w:basedOn w:val="DefaultParagraphFont"/>
    <w:qFormat/>
    <w:rsid w:val="00d26e82"/>
    <w:rPr/>
  </w:style>
  <w:style w:type="character" w:styleId="Cardmaininfostate" w:customStyle="1">
    <w:name w:val="cardmaininfo__state"/>
    <w:basedOn w:val="DefaultParagraphFont"/>
    <w:qFormat/>
    <w:rsid w:val="00d26e82"/>
    <w:rPr/>
  </w:style>
  <w:style w:type="character" w:styleId="Style14">
    <w:name w:val="Интернет-ссылка"/>
    <w:basedOn w:val="DefaultParagraphFont"/>
    <w:unhideWhenUsed/>
    <w:rsid w:val="00e51ee6"/>
    <w:rPr>
      <w:color w:val="0000FF"/>
      <w:u w:val="single"/>
    </w:rPr>
  </w:style>
  <w:style w:type="character" w:styleId="Style15" w:customStyle="1">
    <w:name w:val="Основной текст Знак"/>
    <w:basedOn w:val="DefaultParagraphFont"/>
    <w:uiPriority w:val="99"/>
    <w:semiHidden/>
    <w:qFormat/>
    <w:rsid w:val="0044115b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link w:val="Style15"/>
    <w:uiPriority w:val="99"/>
    <w:semiHidden/>
    <w:unhideWhenUsed/>
    <w:rsid w:val="0044115b"/>
    <w:pPr>
      <w:spacing w:before="0" w:after="12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odyText3">
    <w:name w:val="Body Text 3"/>
    <w:basedOn w:val="Normal"/>
    <w:link w:val="3"/>
    <w:unhideWhenUsed/>
    <w:qFormat/>
    <w:rsid w:val="0085140d"/>
    <w:pPr>
      <w:jc w:val="both"/>
    </w:pPr>
    <w:rPr/>
  </w:style>
  <w:style w:type="paragraph" w:styleId="ListParagraph">
    <w:name w:val="List Paragraph"/>
    <w:basedOn w:val="Normal"/>
    <w:uiPriority w:val="34"/>
    <w:qFormat/>
    <w:rsid w:val="0085140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to60@fas.gov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1082</TotalTime>
  <Application>LibreOffice/7.3.5.2$Windows_X86_64 LibreOffice_project/184fe81b8c8c30d8b5082578aee2fed2ea847c01</Application>
  <AppVersion>15.0000</AppVersion>
  <Pages>6</Pages>
  <Words>1968</Words>
  <Characters>14119</Characters>
  <CharactersWithSpaces>16259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2026-03-23T07:07:00Z</dcterms:created>
  <dc:creator>Администратор</dc:creator>
  <dc:description/>
  <dc:language>ru-RU</dc:language>
  <cp:lastModifiedBy/>
  <dcterms:modified xsi:type="dcterms:W3CDTF">2026-05-04T16:39:37Z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