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
        <w:gridCol w:w="135"/>
        <w:gridCol w:w="709"/>
        <w:gridCol w:w="1196"/>
        <w:gridCol w:w="497"/>
        <w:gridCol w:w="8"/>
        <w:gridCol w:w="1559"/>
        <w:gridCol w:w="851"/>
        <w:gridCol w:w="4961"/>
      </w:tblGrid>
      <w:tr w:rsidR="00C23BFD" w:rsidRPr="00590501" w14:paraId="68D71B5C" w14:textId="77777777" w:rsidTr="0048279F">
        <w:trPr>
          <w:cantSplit/>
          <w:trHeight w:val="345"/>
        </w:trPr>
        <w:tc>
          <w:tcPr>
            <w:tcW w:w="5246" w:type="dxa"/>
            <w:gridSpan w:val="8"/>
            <w:vMerge w:val="restart"/>
            <w:tcBorders>
              <w:top w:val="nil"/>
              <w:left w:val="nil"/>
              <w:bottom w:val="nil"/>
              <w:right w:val="nil"/>
            </w:tcBorders>
          </w:tcPr>
          <w:p w14:paraId="0091B703" w14:textId="1A69096F" w:rsidR="00C23BFD" w:rsidRPr="00C23BFD" w:rsidRDefault="00C23BFD" w:rsidP="00C23BFD">
            <w:pPr>
              <w:widowControl w:val="0"/>
              <w:spacing w:after="0" w:line="240" w:lineRule="auto"/>
              <w:rPr>
                <w:rFonts w:ascii="Times New Roman" w:eastAsia="Times New Roman" w:hAnsi="Times New Roman" w:cs="Times New Roman"/>
                <w:sz w:val="16"/>
                <w:szCs w:val="20"/>
                <w:lang w:eastAsia="ru-RU"/>
              </w:rPr>
            </w:pPr>
            <w:r w:rsidRPr="00C23BFD">
              <w:rPr>
                <w:rFonts w:ascii="Times New Roman" w:eastAsia="Times New Roman" w:hAnsi="Times New Roman" w:cs="Times New Roman"/>
                <w:b/>
                <w:noProof/>
                <w:sz w:val="24"/>
                <w:szCs w:val="20"/>
                <w:lang w:eastAsia="ru-RU"/>
              </w:rPr>
              <w:drawing>
                <wp:anchor distT="0" distB="0" distL="114300" distR="114300" simplePos="0" relativeHeight="251659264" behindDoc="0" locked="0" layoutInCell="0" allowOverlap="1" wp14:anchorId="2A725E20" wp14:editId="5C13D2DD">
                  <wp:simplePos x="0" y="0"/>
                  <wp:positionH relativeFrom="column">
                    <wp:posOffset>1325880</wp:posOffset>
                  </wp:positionH>
                  <wp:positionV relativeFrom="paragraph">
                    <wp:posOffset>47708</wp:posOffset>
                  </wp:positionV>
                  <wp:extent cx="609600" cy="670560"/>
                  <wp:effectExtent l="0" t="0" r="0" b="0"/>
                  <wp:wrapTopAndBottom/>
                  <wp:docPr id="2"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670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3BFD">
              <w:rPr>
                <w:rFonts w:ascii="Times New Roman" w:eastAsia="Times New Roman" w:hAnsi="Times New Roman" w:cs="Times New Roman"/>
                <w:sz w:val="20"/>
                <w:szCs w:val="20"/>
                <w:lang w:eastAsia="ru-RU"/>
              </w:rPr>
              <w:fldChar w:fldCharType="begin"/>
            </w:r>
            <w:r w:rsidRPr="00C23BFD">
              <w:rPr>
                <w:rFonts w:ascii="Times New Roman" w:eastAsia="Times New Roman" w:hAnsi="Times New Roman" w:cs="Times New Roman"/>
                <w:sz w:val="20"/>
                <w:szCs w:val="20"/>
                <w:lang w:eastAsia="ru-RU"/>
              </w:rPr>
              <w:instrText xml:space="preserve"> SEQ CHAPTER \h \r 1</w:instrText>
            </w:r>
            <w:r w:rsidRPr="00C23BFD">
              <w:rPr>
                <w:rFonts w:ascii="Times New Roman" w:eastAsia="Times New Roman" w:hAnsi="Times New Roman" w:cs="Times New Roman"/>
                <w:sz w:val="20"/>
                <w:szCs w:val="20"/>
                <w:lang w:eastAsia="ru-RU"/>
              </w:rPr>
              <w:fldChar w:fldCharType="end"/>
            </w:r>
            <w:r w:rsidRPr="00C23BFD">
              <w:rPr>
                <w:rFonts w:ascii="Times New Roman" w:eastAsia="Times New Roman" w:hAnsi="Times New Roman" w:cs="Times New Roman"/>
                <w:sz w:val="24"/>
                <w:szCs w:val="20"/>
                <w:lang w:eastAsia="ru-RU"/>
              </w:rPr>
              <w:t xml:space="preserve"> </w:t>
            </w:r>
            <w:r w:rsidRPr="00C23BFD">
              <w:rPr>
                <w:rFonts w:ascii="Times New Roman" w:eastAsia="Times New Roman" w:hAnsi="Times New Roman" w:cs="Times New Roman"/>
                <w:sz w:val="16"/>
                <w:szCs w:val="20"/>
                <w:lang w:eastAsia="ru-RU"/>
              </w:rPr>
              <w:fldChar w:fldCharType="begin"/>
            </w:r>
            <w:r w:rsidRPr="00C23BFD">
              <w:rPr>
                <w:rFonts w:ascii="Times New Roman" w:eastAsia="Times New Roman" w:hAnsi="Times New Roman" w:cs="Times New Roman"/>
                <w:sz w:val="16"/>
                <w:szCs w:val="20"/>
                <w:lang w:eastAsia="ru-RU"/>
              </w:rPr>
              <w:instrText xml:space="preserve"> SEQ CHAPTER \h \r 1</w:instrText>
            </w:r>
            <w:r w:rsidRPr="00C23BFD">
              <w:rPr>
                <w:rFonts w:ascii="Times New Roman" w:eastAsia="Times New Roman" w:hAnsi="Times New Roman" w:cs="Times New Roman"/>
                <w:sz w:val="16"/>
                <w:szCs w:val="20"/>
                <w:lang w:eastAsia="ru-RU"/>
              </w:rPr>
              <w:fldChar w:fldCharType="end"/>
            </w:r>
          </w:p>
          <w:p w14:paraId="73363C28" w14:textId="6E029FAF" w:rsidR="00C23BFD" w:rsidRPr="00C23BFD" w:rsidRDefault="00C23BFD" w:rsidP="00B735BF">
            <w:pPr>
              <w:widowControl w:val="0"/>
              <w:spacing w:after="0" w:line="240" w:lineRule="auto"/>
              <w:jc w:val="center"/>
              <w:rPr>
                <w:rFonts w:ascii="Times New Roman" w:eastAsia="Times New Roman" w:hAnsi="Times New Roman" w:cs="Times New Roman"/>
                <w:b/>
                <w:szCs w:val="20"/>
                <w:lang w:eastAsia="ru-RU"/>
              </w:rPr>
            </w:pPr>
            <w:r w:rsidRPr="00C23BFD">
              <w:rPr>
                <w:rFonts w:ascii="Times New Roman" w:eastAsia="Times New Roman" w:hAnsi="Times New Roman" w:cs="Times New Roman"/>
                <w:b/>
                <w:szCs w:val="20"/>
                <w:lang w:eastAsia="ru-RU"/>
              </w:rPr>
              <w:t>ФЕДЕРАЛЬНАЯ</w:t>
            </w:r>
            <w:r w:rsidRPr="00C23BFD">
              <w:rPr>
                <w:rFonts w:ascii="Times New Roman" w:eastAsia="Times New Roman" w:hAnsi="Times New Roman" w:cs="Times New Roman"/>
                <w:b/>
                <w:szCs w:val="20"/>
                <w:lang w:eastAsia="ru-RU"/>
              </w:rPr>
              <w:br/>
              <w:t>АНТИМОНОПОЛЬНАЯ СЛУЖБА</w:t>
            </w:r>
          </w:p>
          <w:p w14:paraId="02AEB11D" w14:textId="77777777" w:rsidR="00C23BFD" w:rsidRPr="00C23BFD" w:rsidRDefault="00C23BFD" w:rsidP="00C23BFD">
            <w:pPr>
              <w:spacing w:after="0" w:line="240" w:lineRule="auto"/>
              <w:jc w:val="center"/>
              <w:rPr>
                <w:rFonts w:ascii="Times New Roman" w:eastAsia="Times New Roman" w:hAnsi="Times New Roman" w:cs="Times New Roman"/>
                <w:b/>
                <w:sz w:val="12"/>
                <w:szCs w:val="20"/>
                <w:lang w:eastAsia="ru-RU"/>
              </w:rPr>
            </w:pPr>
          </w:p>
          <w:p w14:paraId="02CD4C47" w14:textId="77777777" w:rsidR="00C23BFD" w:rsidRPr="00C23BFD" w:rsidRDefault="00C23BFD" w:rsidP="00C23BFD">
            <w:pPr>
              <w:spacing w:after="0" w:line="240" w:lineRule="auto"/>
              <w:jc w:val="center"/>
              <w:rPr>
                <w:rFonts w:ascii="Times New Roman" w:eastAsia="Times New Roman" w:hAnsi="Times New Roman" w:cs="Times New Roman"/>
                <w:b/>
                <w:sz w:val="26"/>
                <w:szCs w:val="20"/>
                <w:lang w:eastAsia="ru-RU"/>
              </w:rPr>
            </w:pPr>
            <w:r w:rsidRPr="00C23BFD">
              <w:rPr>
                <w:rFonts w:ascii="Times New Roman" w:eastAsia="Times New Roman" w:hAnsi="Times New Roman" w:cs="Times New Roman"/>
                <w:b/>
                <w:sz w:val="26"/>
                <w:szCs w:val="20"/>
                <w:lang w:eastAsia="ru-RU"/>
              </w:rPr>
              <w:t>УПРАВЛЕНИЕ</w:t>
            </w:r>
          </w:p>
          <w:p w14:paraId="18F3EFC1" w14:textId="77777777" w:rsidR="00C23BFD" w:rsidRPr="00C23BFD" w:rsidRDefault="00C23BFD" w:rsidP="00C23BFD">
            <w:pPr>
              <w:spacing w:after="0" w:line="240" w:lineRule="auto"/>
              <w:jc w:val="center"/>
              <w:rPr>
                <w:rFonts w:ascii="Times New Roman" w:eastAsia="Times New Roman" w:hAnsi="Times New Roman" w:cs="Times New Roman"/>
                <w:b/>
                <w:sz w:val="24"/>
                <w:szCs w:val="24"/>
                <w:lang w:eastAsia="ru-RU"/>
              </w:rPr>
            </w:pPr>
            <w:r w:rsidRPr="00C23BFD">
              <w:rPr>
                <w:rFonts w:ascii="Times New Roman" w:eastAsia="Times New Roman" w:hAnsi="Times New Roman" w:cs="Times New Roman"/>
                <w:b/>
                <w:sz w:val="24"/>
                <w:szCs w:val="24"/>
                <w:lang w:eastAsia="ru-RU"/>
              </w:rPr>
              <w:t>Федеральной антимонопольной службы</w:t>
            </w:r>
          </w:p>
          <w:p w14:paraId="61416CD0" w14:textId="77777777" w:rsidR="00C23BFD" w:rsidRPr="00C23BFD" w:rsidRDefault="00C23BFD" w:rsidP="00C23BFD">
            <w:pPr>
              <w:spacing w:after="0" w:line="240" w:lineRule="auto"/>
              <w:jc w:val="center"/>
              <w:rPr>
                <w:rFonts w:ascii="Times New Roman" w:eastAsia="Times New Roman" w:hAnsi="Times New Roman" w:cs="Times New Roman"/>
                <w:b/>
                <w:sz w:val="24"/>
                <w:szCs w:val="24"/>
                <w:lang w:eastAsia="ru-RU"/>
              </w:rPr>
            </w:pPr>
            <w:r w:rsidRPr="00C23BFD">
              <w:rPr>
                <w:rFonts w:ascii="Times New Roman" w:eastAsia="Times New Roman" w:hAnsi="Times New Roman" w:cs="Times New Roman"/>
                <w:b/>
                <w:sz w:val="24"/>
                <w:szCs w:val="24"/>
                <w:lang w:eastAsia="ru-RU"/>
              </w:rPr>
              <w:t>по Оренбургской области</w:t>
            </w:r>
          </w:p>
          <w:p w14:paraId="25F85880" w14:textId="77777777" w:rsidR="00C23BFD" w:rsidRPr="00C23BFD" w:rsidRDefault="00C23BFD" w:rsidP="00C23BFD">
            <w:pPr>
              <w:spacing w:after="0" w:line="240" w:lineRule="auto"/>
              <w:jc w:val="center"/>
              <w:rPr>
                <w:rFonts w:ascii="Times New Roman" w:eastAsia="Times New Roman" w:hAnsi="Times New Roman" w:cs="Times New Roman"/>
                <w:b/>
                <w:sz w:val="16"/>
                <w:szCs w:val="20"/>
                <w:lang w:eastAsia="ru-RU"/>
              </w:rPr>
            </w:pPr>
          </w:p>
          <w:p w14:paraId="4367EE35" w14:textId="77777777" w:rsidR="00C23BFD" w:rsidRPr="00C23BFD" w:rsidRDefault="00C23BFD" w:rsidP="00C23BFD">
            <w:pPr>
              <w:spacing w:after="0" w:line="240" w:lineRule="auto"/>
              <w:jc w:val="center"/>
              <w:rPr>
                <w:rFonts w:ascii="Times New Roman" w:eastAsia="Times New Roman" w:hAnsi="Times New Roman" w:cs="Times New Roman"/>
                <w:sz w:val="18"/>
                <w:szCs w:val="20"/>
                <w:lang w:eastAsia="ru-RU"/>
              </w:rPr>
            </w:pPr>
            <w:r w:rsidRPr="00C23BFD">
              <w:rPr>
                <w:rFonts w:ascii="Times New Roman" w:eastAsia="Times New Roman" w:hAnsi="Times New Roman" w:cs="Times New Roman"/>
                <w:sz w:val="18"/>
                <w:szCs w:val="20"/>
                <w:lang w:eastAsia="ru-RU"/>
              </w:rPr>
              <w:t xml:space="preserve">Адрес местонахождения: ул. Краснознаменная, д. 22, </w:t>
            </w:r>
          </w:p>
          <w:p w14:paraId="052A3A94" w14:textId="77777777" w:rsidR="00C23BFD" w:rsidRPr="00C23BFD" w:rsidRDefault="00C23BFD" w:rsidP="00C23BFD">
            <w:pPr>
              <w:spacing w:after="0" w:line="240" w:lineRule="auto"/>
              <w:jc w:val="center"/>
              <w:rPr>
                <w:rFonts w:ascii="Times New Roman" w:eastAsia="Times New Roman" w:hAnsi="Times New Roman" w:cs="Times New Roman"/>
                <w:sz w:val="18"/>
                <w:szCs w:val="20"/>
                <w:lang w:eastAsia="ru-RU"/>
              </w:rPr>
            </w:pPr>
            <w:r w:rsidRPr="00C23BFD">
              <w:rPr>
                <w:rFonts w:ascii="Times New Roman" w:eastAsia="Times New Roman" w:hAnsi="Times New Roman" w:cs="Times New Roman"/>
                <w:sz w:val="18"/>
                <w:szCs w:val="20"/>
                <w:lang w:eastAsia="ru-RU"/>
              </w:rPr>
              <w:t>г. Оренбург, 460046</w:t>
            </w:r>
          </w:p>
          <w:p w14:paraId="4015F2A4" w14:textId="77777777" w:rsidR="00C23BFD" w:rsidRPr="00C23BFD" w:rsidRDefault="00C23BFD" w:rsidP="00C23BFD">
            <w:pPr>
              <w:spacing w:after="0" w:line="240" w:lineRule="auto"/>
              <w:jc w:val="center"/>
              <w:rPr>
                <w:rFonts w:ascii="Times New Roman" w:eastAsia="Times New Roman" w:hAnsi="Times New Roman" w:cs="Times New Roman"/>
                <w:sz w:val="18"/>
                <w:szCs w:val="20"/>
                <w:lang w:eastAsia="ru-RU"/>
              </w:rPr>
            </w:pPr>
            <w:r w:rsidRPr="00C23BFD">
              <w:rPr>
                <w:rFonts w:ascii="Times New Roman" w:eastAsia="Times New Roman" w:hAnsi="Times New Roman" w:cs="Times New Roman"/>
                <w:sz w:val="18"/>
                <w:szCs w:val="20"/>
                <w:lang w:eastAsia="ru-RU"/>
              </w:rPr>
              <w:t>Почтовый адрес: ул. 9 Января, 64, г. Оренбург, 460046</w:t>
            </w:r>
          </w:p>
          <w:p w14:paraId="250A643B" w14:textId="77777777" w:rsidR="00C23BFD" w:rsidRPr="00C23BFD" w:rsidRDefault="00C23BFD" w:rsidP="00C23BFD">
            <w:pPr>
              <w:spacing w:after="0" w:line="240" w:lineRule="auto"/>
              <w:jc w:val="center"/>
              <w:rPr>
                <w:rFonts w:ascii="Times New Roman" w:eastAsia="Times New Roman" w:hAnsi="Times New Roman" w:cs="Times New Roman"/>
                <w:sz w:val="18"/>
                <w:szCs w:val="20"/>
                <w:lang w:eastAsia="ru-RU"/>
              </w:rPr>
            </w:pPr>
            <w:r w:rsidRPr="00C23BFD">
              <w:rPr>
                <w:rFonts w:ascii="Times New Roman" w:eastAsia="Times New Roman" w:hAnsi="Times New Roman" w:cs="Times New Roman"/>
                <w:sz w:val="18"/>
                <w:szCs w:val="20"/>
                <w:lang w:eastAsia="ru-RU"/>
              </w:rPr>
              <w:t>тел. (3532) 78-66-17, факс (3532) 77-80-70</w:t>
            </w:r>
          </w:p>
          <w:p w14:paraId="1AB3FF6E"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val="de-DE" w:eastAsia="ru-RU"/>
              </w:rPr>
            </w:pPr>
            <w:proofErr w:type="spellStart"/>
            <w:r w:rsidRPr="00C23BFD">
              <w:rPr>
                <w:rFonts w:ascii="Times New Roman" w:eastAsia="Times New Roman" w:hAnsi="Times New Roman" w:cs="Times New Roman"/>
                <w:sz w:val="18"/>
                <w:szCs w:val="20"/>
                <w:lang w:val="de-DE" w:eastAsia="ru-RU"/>
              </w:rPr>
              <w:t>e-mail</w:t>
            </w:r>
            <w:proofErr w:type="spellEnd"/>
            <w:r w:rsidRPr="00C23BFD">
              <w:rPr>
                <w:rFonts w:ascii="Times New Roman" w:eastAsia="Times New Roman" w:hAnsi="Times New Roman" w:cs="Times New Roman"/>
                <w:sz w:val="18"/>
                <w:szCs w:val="20"/>
                <w:lang w:val="de-DE" w:eastAsia="ru-RU"/>
              </w:rPr>
              <w:t xml:space="preserve">: </w:t>
            </w:r>
            <w:bookmarkStart w:id="0" w:name="_Hlt74730370"/>
            <w:r w:rsidRPr="00C23BFD">
              <w:rPr>
                <w:rFonts w:ascii="Times New Roman" w:eastAsia="Times New Roman" w:hAnsi="Times New Roman" w:cs="Times New Roman"/>
                <w:sz w:val="18"/>
                <w:szCs w:val="20"/>
                <w:lang w:val="en-US" w:eastAsia="ru-RU"/>
              </w:rPr>
              <w:fldChar w:fldCharType="begin"/>
            </w:r>
            <w:r w:rsidRPr="00C23BFD">
              <w:rPr>
                <w:rFonts w:ascii="Times New Roman" w:eastAsia="Times New Roman" w:hAnsi="Times New Roman" w:cs="Times New Roman"/>
                <w:sz w:val="18"/>
                <w:szCs w:val="20"/>
                <w:lang w:val="de-DE" w:eastAsia="ru-RU"/>
              </w:rPr>
              <w:instrText xml:space="preserve"> HYPERLINK "mailto:to56@fas.gov.ru" </w:instrText>
            </w:r>
            <w:r w:rsidRPr="00C23BFD">
              <w:rPr>
                <w:rFonts w:ascii="Times New Roman" w:eastAsia="Times New Roman" w:hAnsi="Times New Roman" w:cs="Times New Roman"/>
                <w:sz w:val="18"/>
                <w:szCs w:val="20"/>
                <w:lang w:val="en-US" w:eastAsia="ru-RU"/>
              </w:rPr>
              <w:fldChar w:fldCharType="separate"/>
            </w:r>
            <w:r w:rsidRPr="00C23BFD">
              <w:rPr>
                <w:rFonts w:ascii="Times New Roman" w:eastAsia="Times New Roman" w:hAnsi="Times New Roman" w:cs="Times New Roman"/>
                <w:color w:val="0000FF"/>
                <w:sz w:val="18"/>
                <w:szCs w:val="20"/>
                <w:u w:val="single"/>
                <w:lang w:val="de-DE" w:eastAsia="ru-RU"/>
              </w:rPr>
              <w:t>to56@fas.gov.ru</w:t>
            </w:r>
            <w:bookmarkEnd w:id="0"/>
            <w:r w:rsidRPr="00C23BFD">
              <w:rPr>
                <w:rFonts w:ascii="Times New Roman" w:eastAsia="Times New Roman" w:hAnsi="Times New Roman" w:cs="Times New Roman"/>
                <w:sz w:val="18"/>
                <w:szCs w:val="20"/>
                <w:lang w:val="en-US" w:eastAsia="ru-RU"/>
              </w:rPr>
              <w:fldChar w:fldCharType="end"/>
            </w:r>
          </w:p>
        </w:tc>
        <w:tc>
          <w:tcPr>
            <w:tcW w:w="4961" w:type="dxa"/>
            <w:tcBorders>
              <w:top w:val="nil"/>
              <w:left w:val="nil"/>
              <w:bottom w:val="nil"/>
              <w:right w:val="nil"/>
            </w:tcBorders>
          </w:tcPr>
          <w:p w14:paraId="065AEA31" w14:textId="3EC657F0" w:rsidR="0019705E" w:rsidRPr="00CC1499" w:rsidRDefault="0019705E" w:rsidP="00F915EF">
            <w:pPr>
              <w:keepNext/>
              <w:widowControl w:val="0"/>
              <w:spacing w:after="0" w:line="240" w:lineRule="auto"/>
              <w:outlineLvl w:val="5"/>
              <w:rPr>
                <w:rFonts w:ascii="Times New Roman" w:eastAsia="Times New Roman" w:hAnsi="Times New Roman" w:cs="Times New Roman"/>
                <w:sz w:val="24"/>
                <w:szCs w:val="24"/>
                <w:lang w:val="en-US" w:eastAsia="ru-RU"/>
              </w:rPr>
            </w:pPr>
          </w:p>
        </w:tc>
      </w:tr>
      <w:tr w:rsidR="00C23BFD" w:rsidRPr="00CD05BD" w14:paraId="6D0D0B24" w14:textId="77777777" w:rsidTr="00AD38A0">
        <w:trPr>
          <w:cantSplit/>
          <w:trHeight w:val="2480"/>
        </w:trPr>
        <w:tc>
          <w:tcPr>
            <w:tcW w:w="5246" w:type="dxa"/>
            <w:gridSpan w:val="8"/>
            <w:vMerge/>
            <w:tcBorders>
              <w:top w:val="nil"/>
              <w:left w:val="nil"/>
              <w:bottom w:val="nil"/>
              <w:right w:val="nil"/>
            </w:tcBorders>
          </w:tcPr>
          <w:p w14:paraId="1F419627"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val="de-DE" w:eastAsia="ru-RU"/>
              </w:rPr>
            </w:pPr>
          </w:p>
        </w:tc>
        <w:tc>
          <w:tcPr>
            <w:tcW w:w="4961" w:type="dxa"/>
            <w:vMerge w:val="restart"/>
            <w:tcBorders>
              <w:top w:val="nil"/>
              <w:left w:val="nil"/>
              <w:bottom w:val="nil"/>
              <w:right w:val="nil"/>
            </w:tcBorders>
            <w:shd w:val="clear" w:color="auto" w:fill="auto"/>
          </w:tcPr>
          <w:p w14:paraId="5613398C" w14:textId="77777777" w:rsidR="0029204A" w:rsidRPr="0029204A" w:rsidRDefault="0029204A" w:rsidP="0029204A">
            <w:pPr>
              <w:pStyle w:val="4"/>
              <w:rPr>
                <w:rFonts w:ascii="Times New Roman" w:hAnsi="Times New Roman" w:cs="Times New Roman"/>
                <w:sz w:val="24"/>
                <w:szCs w:val="24"/>
                <w:lang w:bidi="ru-RU"/>
              </w:rPr>
            </w:pPr>
            <w:r w:rsidRPr="0029204A">
              <w:rPr>
                <w:rFonts w:ascii="Times New Roman" w:hAnsi="Times New Roman" w:cs="Times New Roman"/>
                <w:sz w:val="24"/>
                <w:szCs w:val="24"/>
                <w:lang w:bidi="ru-RU"/>
              </w:rPr>
              <w:t>Заказчик:</w:t>
            </w:r>
          </w:p>
          <w:p w14:paraId="3A938CB2" w14:textId="77777777" w:rsidR="0029204A" w:rsidRPr="0029204A" w:rsidRDefault="0029204A" w:rsidP="0029204A">
            <w:pPr>
              <w:pStyle w:val="4"/>
              <w:rPr>
                <w:rFonts w:ascii="Times New Roman" w:hAnsi="Times New Roman" w:cs="Times New Roman"/>
                <w:sz w:val="24"/>
                <w:szCs w:val="24"/>
                <w:lang w:bidi="ru-RU"/>
              </w:rPr>
            </w:pPr>
            <w:r w:rsidRPr="0029204A">
              <w:rPr>
                <w:rFonts w:ascii="Times New Roman" w:hAnsi="Times New Roman" w:cs="Times New Roman"/>
                <w:sz w:val="24"/>
                <w:szCs w:val="24"/>
                <w:lang w:bidi="ru-RU"/>
              </w:rPr>
              <w:t xml:space="preserve">Муниципальное бюджетное учреждение Культуры «Гайский историко-краеведческий музей» </w:t>
            </w:r>
          </w:p>
          <w:p w14:paraId="30306598" w14:textId="77777777" w:rsidR="0029204A" w:rsidRPr="0029204A" w:rsidRDefault="0029204A" w:rsidP="0029204A">
            <w:pPr>
              <w:pStyle w:val="4"/>
              <w:rPr>
                <w:rFonts w:ascii="Times New Roman" w:hAnsi="Times New Roman" w:cs="Times New Roman"/>
                <w:sz w:val="24"/>
                <w:szCs w:val="24"/>
                <w:lang w:bidi="ru-RU"/>
              </w:rPr>
            </w:pPr>
          </w:p>
          <w:p w14:paraId="4BB657FA" w14:textId="77777777" w:rsidR="0029204A" w:rsidRPr="0029204A" w:rsidRDefault="0029204A" w:rsidP="0029204A">
            <w:pPr>
              <w:pStyle w:val="4"/>
              <w:rPr>
                <w:rFonts w:ascii="Times New Roman" w:hAnsi="Times New Roman" w:cs="Times New Roman"/>
                <w:sz w:val="24"/>
                <w:szCs w:val="24"/>
                <w:lang w:bidi="ru-RU"/>
              </w:rPr>
            </w:pPr>
            <w:r w:rsidRPr="0029204A">
              <w:rPr>
                <w:rFonts w:ascii="Times New Roman" w:hAnsi="Times New Roman" w:cs="Times New Roman"/>
                <w:sz w:val="24"/>
                <w:szCs w:val="24"/>
                <w:lang w:bidi="ru-RU"/>
              </w:rPr>
              <w:t>Поставщик:</w:t>
            </w:r>
          </w:p>
          <w:p w14:paraId="2D59F0E8" w14:textId="77777777" w:rsidR="0029204A" w:rsidRPr="0029204A" w:rsidRDefault="0029204A" w:rsidP="0029204A">
            <w:pPr>
              <w:pStyle w:val="4"/>
              <w:rPr>
                <w:rFonts w:ascii="Times New Roman" w:hAnsi="Times New Roman" w:cs="Times New Roman"/>
                <w:sz w:val="24"/>
                <w:szCs w:val="24"/>
                <w:lang w:bidi="ru-RU"/>
              </w:rPr>
            </w:pPr>
            <w:r w:rsidRPr="0029204A">
              <w:rPr>
                <w:rFonts w:ascii="Times New Roman" w:hAnsi="Times New Roman" w:cs="Times New Roman"/>
                <w:sz w:val="24"/>
                <w:szCs w:val="24"/>
                <w:lang w:bidi="ru-RU"/>
              </w:rPr>
              <w:t xml:space="preserve">ИП </w:t>
            </w:r>
            <w:proofErr w:type="spellStart"/>
            <w:r w:rsidRPr="0029204A">
              <w:rPr>
                <w:rFonts w:ascii="Times New Roman" w:hAnsi="Times New Roman" w:cs="Times New Roman"/>
                <w:sz w:val="24"/>
                <w:szCs w:val="24"/>
                <w:lang w:bidi="ru-RU"/>
              </w:rPr>
              <w:t>Черницына</w:t>
            </w:r>
            <w:proofErr w:type="spellEnd"/>
            <w:r w:rsidRPr="0029204A">
              <w:rPr>
                <w:rFonts w:ascii="Times New Roman" w:hAnsi="Times New Roman" w:cs="Times New Roman"/>
                <w:sz w:val="24"/>
                <w:szCs w:val="24"/>
                <w:lang w:bidi="ru-RU"/>
              </w:rPr>
              <w:t xml:space="preserve"> Г.З. </w:t>
            </w:r>
          </w:p>
          <w:p w14:paraId="6E7BBB03" w14:textId="77777777" w:rsidR="0029204A" w:rsidRPr="0029204A" w:rsidRDefault="0029204A" w:rsidP="0029204A">
            <w:pPr>
              <w:pStyle w:val="4"/>
              <w:rPr>
                <w:rFonts w:ascii="Times New Roman" w:hAnsi="Times New Roman" w:cs="Times New Roman"/>
                <w:sz w:val="24"/>
                <w:szCs w:val="24"/>
                <w:lang w:bidi="ru-RU"/>
              </w:rPr>
            </w:pPr>
          </w:p>
          <w:p w14:paraId="3AB92D56" w14:textId="3DE99F0E" w:rsidR="009E589B" w:rsidRPr="00CC1499" w:rsidRDefault="009E589B" w:rsidP="0029204A">
            <w:pPr>
              <w:autoSpaceDE w:val="0"/>
              <w:spacing w:after="0"/>
              <w:rPr>
                <w:sz w:val="24"/>
                <w:szCs w:val="24"/>
              </w:rPr>
            </w:pPr>
          </w:p>
        </w:tc>
      </w:tr>
      <w:tr w:rsidR="00C23BFD" w:rsidRPr="00C23BFD" w14:paraId="5CA9433F" w14:textId="77777777" w:rsidTr="00AD38A0">
        <w:trPr>
          <w:cantSplit/>
          <w:trHeight w:val="377"/>
        </w:trPr>
        <w:tc>
          <w:tcPr>
            <w:tcW w:w="426" w:type="dxa"/>
            <w:gridSpan w:val="2"/>
            <w:tcBorders>
              <w:top w:val="nil"/>
              <w:left w:val="nil"/>
              <w:bottom w:val="nil"/>
              <w:right w:val="nil"/>
            </w:tcBorders>
            <w:vAlign w:val="bottom"/>
          </w:tcPr>
          <w:p w14:paraId="2871482F" w14:textId="77777777" w:rsidR="00C23BFD" w:rsidRPr="00F66036"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1905" w:type="dxa"/>
            <w:gridSpan w:val="2"/>
            <w:tcBorders>
              <w:top w:val="nil"/>
              <w:left w:val="nil"/>
              <w:bottom w:val="single" w:sz="4" w:space="0" w:color="auto"/>
              <w:right w:val="nil"/>
            </w:tcBorders>
            <w:vAlign w:val="bottom"/>
          </w:tcPr>
          <w:p w14:paraId="1CEB0054" w14:textId="426EBD77" w:rsidR="00C23BFD" w:rsidRPr="00F66036"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505" w:type="dxa"/>
            <w:gridSpan w:val="2"/>
            <w:tcBorders>
              <w:top w:val="nil"/>
              <w:left w:val="nil"/>
              <w:bottom w:val="nil"/>
              <w:right w:val="nil"/>
            </w:tcBorders>
            <w:vAlign w:val="bottom"/>
          </w:tcPr>
          <w:p w14:paraId="7E785467" w14:textId="77777777" w:rsidR="00C23BFD" w:rsidRPr="00C23BFD" w:rsidRDefault="00C23BFD" w:rsidP="00C23BFD">
            <w:pPr>
              <w:widowControl w:val="0"/>
              <w:spacing w:after="0" w:line="240" w:lineRule="auto"/>
              <w:rPr>
                <w:rFonts w:ascii="Times New Roman" w:eastAsia="Times New Roman" w:hAnsi="Times New Roman" w:cs="Times New Roman"/>
                <w:sz w:val="18"/>
                <w:szCs w:val="18"/>
                <w:lang w:eastAsia="ru-RU"/>
              </w:rPr>
            </w:pPr>
            <w:r w:rsidRPr="00C23BFD">
              <w:rPr>
                <w:rFonts w:ascii="Times New Roman" w:eastAsia="Times New Roman" w:hAnsi="Times New Roman" w:cs="Times New Roman"/>
                <w:sz w:val="18"/>
                <w:szCs w:val="18"/>
                <w:lang w:eastAsia="ru-RU"/>
              </w:rPr>
              <w:t>№</w:t>
            </w:r>
          </w:p>
        </w:tc>
        <w:tc>
          <w:tcPr>
            <w:tcW w:w="1559" w:type="dxa"/>
            <w:tcBorders>
              <w:top w:val="nil"/>
              <w:left w:val="nil"/>
              <w:bottom w:val="single" w:sz="4" w:space="0" w:color="auto"/>
              <w:right w:val="nil"/>
            </w:tcBorders>
            <w:vAlign w:val="bottom"/>
          </w:tcPr>
          <w:p w14:paraId="694AF4F7" w14:textId="2D6758E5"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nil"/>
              <w:right w:val="nil"/>
            </w:tcBorders>
            <w:vAlign w:val="bottom"/>
          </w:tcPr>
          <w:p w14:paraId="7BA4AA2D"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4961" w:type="dxa"/>
            <w:vMerge/>
            <w:tcBorders>
              <w:top w:val="nil"/>
              <w:left w:val="nil"/>
              <w:bottom w:val="nil"/>
              <w:right w:val="nil"/>
            </w:tcBorders>
            <w:shd w:val="clear" w:color="auto" w:fill="auto"/>
            <w:vAlign w:val="bottom"/>
          </w:tcPr>
          <w:p w14:paraId="7721899D" w14:textId="77777777" w:rsidR="00C23BFD" w:rsidRPr="00C23BFD" w:rsidRDefault="00C23BFD" w:rsidP="00C23BFD">
            <w:pPr>
              <w:widowControl w:val="0"/>
              <w:spacing w:after="0" w:line="240" w:lineRule="auto"/>
              <w:rPr>
                <w:rFonts w:ascii="Times New Roman" w:eastAsia="Times New Roman" w:hAnsi="Times New Roman" w:cs="Times New Roman"/>
                <w:sz w:val="20"/>
                <w:szCs w:val="20"/>
                <w:lang w:eastAsia="ru-RU"/>
              </w:rPr>
            </w:pPr>
          </w:p>
        </w:tc>
      </w:tr>
      <w:tr w:rsidR="00C23BFD" w:rsidRPr="00C23BFD" w14:paraId="5A7D4B8B" w14:textId="77777777" w:rsidTr="00AD38A0">
        <w:trPr>
          <w:cantSplit/>
          <w:trHeight w:val="415"/>
        </w:trPr>
        <w:tc>
          <w:tcPr>
            <w:tcW w:w="426" w:type="dxa"/>
            <w:gridSpan w:val="2"/>
            <w:tcBorders>
              <w:top w:val="nil"/>
              <w:left w:val="nil"/>
              <w:bottom w:val="nil"/>
              <w:right w:val="nil"/>
            </w:tcBorders>
            <w:vAlign w:val="bottom"/>
          </w:tcPr>
          <w:p w14:paraId="6485A16D"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nil"/>
              <w:right w:val="nil"/>
            </w:tcBorders>
            <w:vAlign w:val="bottom"/>
          </w:tcPr>
          <w:p w14:paraId="758EAEC2" w14:textId="77777777" w:rsidR="00C23BFD" w:rsidRPr="00C23BFD" w:rsidRDefault="00C23BFD" w:rsidP="00C23BFD">
            <w:pPr>
              <w:widowControl w:val="0"/>
              <w:spacing w:after="0" w:line="240" w:lineRule="auto"/>
              <w:rPr>
                <w:rFonts w:ascii="Times New Roman" w:eastAsia="Times New Roman" w:hAnsi="Times New Roman" w:cs="Times New Roman"/>
                <w:sz w:val="18"/>
                <w:szCs w:val="18"/>
                <w:lang w:eastAsia="ru-RU"/>
              </w:rPr>
            </w:pPr>
            <w:r w:rsidRPr="00C23BFD">
              <w:rPr>
                <w:rFonts w:ascii="Times New Roman" w:eastAsia="Times New Roman" w:hAnsi="Times New Roman" w:cs="Times New Roman"/>
                <w:sz w:val="18"/>
                <w:szCs w:val="18"/>
                <w:lang w:eastAsia="ru-RU"/>
              </w:rPr>
              <w:t>На №</w:t>
            </w:r>
          </w:p>
        </w:tc>
        <w:tc>
          <w:tcPr>
            <w:tcW w:w="1196" w:type="dxa"/>
            <w:tcBorders>
              <w:top w:val="single" w:sz="4" w:space="0" w:color="auto"/>
              <w:left w:val="nil"/>
              <w:bottom w:val="single" w:sz="4" w:space="0" w:color="auto"/>
              <w:right w:val="nil"/>
            </w:tcBorders>
            <w:vAlign w:val="bottom"/>
          </w:tcPr>
          <w:p w14:paraId="7DD33259" w14:textId="77777777" w:rsidR="00C23BFD" w:rsidRPr="00C23BFD" w:rsidRDefault="00C23BFD" w:rsidP="00C23BFD">
            <w:pPr>
              <w:widowControl w:val="0"/>
              <w:spacing w:after="0" w:line="240" w:lineRule="auto"/>
              <w:jc w:val="center"/>
              <w:rPr>
                <w:rFonts w:ascii="Times New Roman" w:eastAsia="Times New Roman" w:hAnsi="Times New Roman" w:cs="Times New Roman"/>
                <w:sz w:val="18"/>
                <w:szCs w:val="18"/>
                <w:lang w:eastAsia="ru-RU"/>
              </w:rPr>
            </w:pPr>
          </w:p>
        </w:tc>
        <w:tc>
          <w:tcPr>
            <w:tcW w:w="505" w:type="dxa"/>
            <w:gridSpan w:val="2"/>
            <w:tcBorders>
              <w:top w:val="nil"/>
              <w:left w:val="nil"/>
              <w:bottom w:val="nil"/>
              <w:right w:val="nil"/>
            </w:tcBorders>
            <w:vAlign w:val="bottom"/>
          </w:tcPr>
          <w:p w14:paraId="2A3F7380" w14:textId="77777777" w:rsidR="00C23BFD" w:rsidRPr="00C23BFD" w:rsidRDefault="00C23BFD" w:rsidP="00C23BFD">
            <w:pPr>
              <w:widowControl w:val="0"/>
              <w:spacing w:after="0" w:line="240" w:lineRule="auto"/>
              <w:jc w:val="center"/>
              <w:rPr>
                <w:rFonts w:ascii="Times New Roman" w:eastAsia="Times New Roman" w:hAnsi="Times New Roman" w:cs="Times New Roman"/>
                <w:sz w:val="18"/>
                <w:szCs w:val="18"/>
                <w:lang w:eastAsia="ru-RU"/>
              </w:rPr>
            </w:pPr>
            <w:r w:rsidRPr="00C23BFD">
              <w:rPr>
                <w:rFonts w:ascii="Times New Roman" w:eastAsia="Times New Roman" w:hAnsi="Times New Roman" w:cs="Times New Roman"/>
                <w:sz w:val="18"/>
                <w:szCs w:val="18"/>
                <w:lang w:eastAsia="ru-RU"/>
              </w:rPr>
              <w:t>от</w:t>
            </w:r>
          </w:p>
        </w:tc>
        <w:tc>
          <w:tcPr>
            <w:tcW w:w="1559" w:type="dxa"/>
            <w:tcBorders>
              <w:top w:val="single" w:sz="4" w:space="0" w:color="auto"/>
              <w:left w:val="nil"/>
              <w:bottom w:val="single" w:sz="4" w:space="0" w:color="auto"/>
              <w:right w:val="nil"/>
            </w:tcBorders>
            <w:vAlign w:val="bottom"/>
          </w:tcPr>
          <w:p w14:paraId="5F3EB004" w14:textId="77777777" w:rsidR="00C23BFD" w:rsidRPr="00C23BFD" w:rsidRDefault="00C23BFD" w:rsidP="00C23BFD">
            <w:pPr>
              <w:widowControl w:val="0"/>
              <w:spacing w:after="0" w:line="240" w:lineRule="auto"/>
              <w:jc w:val="center"/>
              <w:rPr>
                <w:rFonts w:ascii="Times New Roman" w:eastAsia="Times New Roman" w:hAnsi="Times New Roman" w:cs="Times New Roman"/>
                <w:sz w:val="18"/>
                <w:szCs w:val="18"/>
                <w:lang w:eastAsia="ru-RU"/>
              </w:rPr>
            </w:pPr>
          </w:p>
        </w:tc>
        <w:tc>
          <w:tcPr>
            <w:tcW w:w="851" w:type="dxa"/>
            <w:tcBorders>
              <w:top w:val="nil"/>
              <w:left w:val="nil"/>
              <w:bottom w:val="nil"/>
              <w:right w:val="nil"/>
            </w:tcBorders>
            <w:vAlign w:val="bottom"/>
          </w:tcPr>
          <w:p w14:paraId="02F38457"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4961" w:type="dxa"/>
            <w:vMerge/>
            <w:tcBorders>
              <w:top w:val="nil"/>
              <w:left w:val="nil"/>
              <w:bottom w:val="nil"/>
              <w:right w:val="nil"/>
            </w:tcBorders>
            <w:shd w:val="clear" w:color="auto" w:fill="auto"/>
            <w:vAlign w:val="bottom"/>
          </w:tcPr>
          <w:p w14:paraId="5328ACE2" w14:textId="77777777" w:rsidR="00C23BFD" w:rsidRPr="00C23BFD" w:rsidRDefault="00C23BFD" w:rsidP="00C23BFD">
            <w:pPr>
              <w:widowControl w:val="0"/>
              <w:spacing w:after="0" w:line="240" w:lineRule="auto"/>
              <w:rPr>
                <w:rFonts w:ascii="Times New Roman" w:eastAsia="Times New Roman" w:hAnsi="Times New Roman" w:cs="Times New Roman"/>
                <w:sz w:val="20"/>
                <w:szCs w:val="20"/>
                <w:lang w:eastAsia="ru-RU"/>
              </w:rPr>
            </w:pPr>
          </w:p>
        </w:tc>
      </w:tr>
      <w:tr w:rsidR="00C23BFD" w:rsidRPr="00C23BFD" w14:paraId="43C19770" w14:textId="77777777" w:rsidTr="00AD38A0">
        <w:trPr>
          <w:cantSplit/>
          <w:trHeight w:val="461"/>
        </w:trPr>
        <w:tc>
          <w:tcPr>
            <w:tcW w:w="291" w:type="dxa"/>
            <w:tcBorders>
              <w:top w:val="nil"/>
              <w:left w:val="nil"/>
              <w:bottom w:val="nil"/>
              <w:right w:val="nil"/>
            </w:tcBorders>
          </w:tcPr>
          <w:p w14:paraId="13C8047E"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844" w:type="dxa"/>
            <w:gridSpan w:val="2"/>
            <w:tcBorders>
              <w:top w:val="nil"/>
              <w:left w:val="nil"/>
              <w:bottom w:val="nil"/>
              <w:right w:val="nil"/>
            </w:tcBorders>
          </w:tcPr>
          <w:p w14:paraId="7B6105F3"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1196" w:type="dxa"/>
            <w:tcBorders>
              <w:top w:val="single" w:sz="4" w:space="0" w:color="auto"/>
              <w:left w:val="nil"/>
              <w:bottom w:val="nil"/>
              <w:right w:val="nil"/>
            </w:tcBorders>
          </w:tcPr>
          <w:p w14:paraId="542E339C"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497" w:type="dxa"/>
            <w:tcBorders>
              <w:top w:val="nil"/>
              <w:left w:val="nil"/>
              <w:bottom w:val="nil"/>
              <w:right w:val="nil"/>
            </w:tcBorders>
          </w:tcPr>
          <w:p w14:paraId="0B7EDD17"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1567" w:type="dxa"/>
            <w:gridSpan w:val="2"/>
            <w:tcBorders>
              <w:top w:val="single" w:sz="4" w:space="0" w:color="auto"/>
              <w:left w:val="nil"/>
              <w:bottom w:val="nil"/>
              <w:right w:val="nil"/>
            </w:tcBorders>
          </w:tcPr>
          <w:p w14:paraId="1CF460AC"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nil"/>
              <w:right w:val="nil"/>
            </w:tcBorders>
          </w:tcPr>
          <w:p w14:paraId="662D6B7E" w14:textId="77777777" w:rsidR="00C23BFD" w:rsidRPr="00C23BFD" w:rsidRDefault="00C23BFD" w:rsidP="00C23BFD">
            <w:pPr>
              <w:widowControl w:val="0"/>
              <w:spacing w:after="0" w:line="240" w:lineRule="auto"/>
              <w:jc w:val="center"/>
              <w:rPr>
                <w:rFonts w:ascii="Times New Roman" w:eastAsia="Times New Roman" w:hAnsi="Times New Roman" w:cs="Times New Roman"/>
                <w:sz w:val="20"/>
                <w:szCs w:val="20"/>
                <w:lang w:eastAsia="ru-RU"/>
              </w:rPr>
            </w:pPr>
          </w:p>
        </w:tc>
        <w:tc>
          <w:tcPr>
            <w:tcW w:w="4961" w:type="dxa"/>
            <w:vMerge/>
            <w:tcBorders>
              <w:top w:val="nil"/>
              <w:left w:val="nil"/>
              <w:bottom w:val="nil"/>
              <w:right w:val="nil"/>
            </w:tcBorders>
            <w:shd w:val="clear" w:color="auto" w:fill="auto"/>
          </w:tcPr>
          <w:p w14:paraId="7781A5C6" w14:textId="77777777" w:rsidR="00C23BFD" w:rsidRPr="00C23BFD" w:rsidRDefault="00C23BFD" w:rsidP="00C23BFD">
            <w:pPr>
              <w:widowControl w:val="0"/>
              <w:spacing w:after="0" w:line="240" w:lineRule="auto"/>
              <w:rPr>
                <w:rFonts w:ascii="Times New Roman" w:eastAsia="Times New Roman" w:hAnsi="Times New Roman" w:cs="Times New Roman"/>
                <w:sz w:val="20"/>
                <w:szCs w:val="20"/>
                <w:lang w:eastAsia="ru-RU"/>
              </w:rPr>
            </w:pPr>
          </w:p>
        </w:tc>
      </w:tr>
      <w:tr w:rsidR="00C23BFD" w:rsidRPr="00C23BFD" w14:paraId="7A5C77E4" w14:textId="77777777" w:rsidTr="00AD38A0">
        <w:trPr>
          <w:cantSplit/>
          <w:trHeight w:val="303"/>
        </w:trPr>
        <w:tc>
          <w:tcPr>
            <w:tcW w:w="5246" w:type="dxa"/>
            <w:gridSpan w:val="8"/>
            <w:tcBorders>
              <w:top w:val="nil"/>
              <w:left w:val="nil"/>
              <w:bottom w:val="nil"/>
              <w:right w:val="nil"/>
            </w:tcBorders>
          </w:tcPr>
          <w:p w14:paraId="74DB7CED" w14:textId="77777777" w:rsidR="00C23BFD" w:rsidRPr="00C23BFD" w:rsidRDefault="00C23BFD" w:rsidP="00C23BFD">
            <w:pPr>
              <w:widowControl w:val="0"/>
              <w:spacing w:after="0" w:line="240" w:lineRule="auto"/>
              <w:ind w:left="142" w:right="176"/>
              <w:jc w:val="center"/>
              <w:rPr>
                <w:rFonts w:ascii="Times New Roman" w:eastAsia="Times New Roman" w:hAnsi="Times New Roman" w:cs="Times New Roman"/>
                <w:sz w:val="28"/>
                <w:szCs w:val="20"/>
                <w:lang w:eastAsia="ru-RU"/>
              </w:rPr>
            </w:pPr>
          </w:p>
        </w:tc>
        <w:tc>
          <w:tcPr>
            <w:tcW w:w="4961" w:type="dxa"/>
            <w:vMerge/>
            <w:tcBorders>
              <w:top w:val="nil"/>
              <w:left w:val="nil"/>
              <w:bottom w:val="nil"/>
              <w:right w:val="nil"/>
            </w:tcBorders>
            <w:shd w:val="clear" w:color="auto" w:fill="auto"/>
          </w:tcPr>
          <w:p w14:paraId="235476C0" w14:textId="77777777" w:rsidR="00C23BFD" w:rsidRPr="00C23BFD" w:rsidRDefault="00C23BFD" w:rsidP="00C23BFD">
            <w:pPr>
              <w:widowControl w:val="0"/>
              <w:spacing w:after="0" w:line="240" w:lineRule="auto"/>
              <w:rPr>
                <w:rFonts w:ascii="Times New Roman" w:eastAsia="Times New Roman" w:hAnsi="Times New Roman" w:cs="Times New Roman"/>
                <w:sz w:val="20"/>
                <w:szCs w:val="20"/>
                <w:lang w:eastAsia="ru-RU"/>
              </w:rPr>
            </w:pPr>
          </w:p>
        </w:tc>
      </w:tr>
    </w:tbl>
    <w:p w14:paraId="63DB9355" w14:textId="77777777" w:rsidR="00E37E69" w:rsidRDefault="00E37E69" w:rsidP="00C23BFD">
      <w:pPr>
        <w:widowControl w:val="0"/>
        <w:spacing w:after="0" w:line="240" w:lineRule="auto"/>
        <w:jc w:val="center"/>
        <w:rPr>
          <w:rFonts w:ascii="Times New Roman" w:eastAsia="Times New Roman" w:hAnsi="Times New Roman" w:cs="Times New Roman"/>
          <w:bCs/>
          <w:sz w:val="24"/>
          <w:szCs w:val="24"/>
          <w:lang w:eastAsia="ru-RU"/>
        </w:rPr>
      </w:pPr>
    </w:p>
    <w:p w14:paraId="70B0A17C" w14:textId="77777777" w:rsidR="00E37E69" w:rsidRDefault="00E37E69" w:rsidP="00C23BFD">
      <w:pPr>
        <w:widowControl w:val="0"/>
        <w:spacing w:after="0" w:line="240" w:lineRule="auto"/>
        <w:jc w:val="center"/>
        <w:rPr>
          <w:rFonts w:ascii="Times New Roman" w:eastAsia="Times New Roman" w:hAnsi="Times New Roman" w:cs="Times New Roman"/>
          <w:bCs/>
          <w:sz w:val="24"/>
          <w:szCs w:val="24"/>
          <w:lang w:eastAsia="ru-RU"/>
        </w:rPr>
      </w:pPr>
    </w:p>
    <w:p w14:paraId="24B42B89" w14:textId="77777777" w:rsidR="004A7088" w:rsidRPr="004A7088" w:rsidRDefault="004A7088" w:rsidP="004A7088">
      <w:pPr>
        <w:spacing w:after="0" w:line="240" w:lineRule="auto"/>
        <w:ind w:firstLine="709"/>
        <w:jc w:val="center"/>
        <w:rPr>
          <w:rFonts w:ascii="Times New Roman" w:eastAsia="Times New Roman" w:hAnsi="Times New Roman" w:cs="Times New Roman"/>
          <w:sz w:val="24"/>
          <w:szCs w:val="24"/>
          <w:lang w:eastAsia="ru-RU"/>
        </w:rPr>
      </w:pPr>
      <w:r w:rsidRPr="004A7088">
        <w:rPr>
          <w:rFonts w:ascii="Times New Roman" w:eastAsia="Times New Roman" w:hAnsi="Times New Roman" w:cs="Times New Roman"/>
          <w:b/>
          <w:bCs/>
          <w:sz w:val="26"/>
          <w:szCs w:val="26"/>
          <w:lang w:eastAsia="ru-RU"/>
        </w:rPr>
        <w:t>РЕШЕНИЕ</w:t>
      </w:r>
    </w:p>
    <w:p w14:paraId="2EF6F958" w14:textId="10EE30B9" w:rsidR="004A7088" w:rsidRDefault="004A7088" w:rsidP="004A7088">
      <w:pPr>
        <w:spacing w:after="0" w:line="240" w:lineRule="auto"/>
        <w:ind w:firstLine="709"/>
        <w:jc w:val="center"/>
        <w:rPr>
          <w:rFonts w:ascii="Times New Roman" w:eastAsia="Times New Roman" w:hAnsi="Times New Roman" w:cs="Times New Roman"/>
          <w:b/>
          <w:bCs/>
          <w:sz w:val="26"/>
          <w:szCs w:val="26"/>
          <w:lang w:eastAsia="ru-RU"/>
        </w:rPr>
      </w:pPr>
      <w:r w:rsidRPr="004A7088">
        <w:rPr>
          <w:rFonts w:ascii="Times New Roman" w:eastAsia="Times New Roman" w:hAnsi="Times New Roman" w:cs="Times New Roman"/>
          <w:b/>
          <w:bCs/>
          <w:sz w:val="26"/>
          <w:szCs w:val="26"/>
          <w:lang w:eastAsia="ru-RU"/>
        </w:rPr>
        <w:t>по делу № 056/10/104-517/2026</w:t>
      </w:r>
    </w:p>
    <w:p w14:paraId="1CCFE800" w14:textId="77777777" w:rsidR="004A7088" w:rsidRPr="004A7088" w:rsidRDefault="004A7088" w:rsidP="004A7088">
      <w:pPr>
        <w:spacing w:after="0" w:line="240" w:lineRule="auto"/>
        <w:ind w:firstLine="709"/>
        <w:jc w:val="center"/>
        <w:rPr>
          <w:rFonts w:ascii="Times New Roman" w:eastAsia="Times New Roman" w:hAnsi="Times New Roman" w:cs="Times New Roman"/>
          <w:sz w:val="24"/>
          <w:szCs w:val="24"/>
          <w:lang w:eastAsia="ru-RU"/>
        </w:rPr>
      </w:pPr>
    </w:p>
    <w:p w14:paraId="53C85EE3" w14:textId="63F1D41B" w:rsidR="004A7088" w:rsidRPr="004A7088" w:rsidRDefault="004A7088" w:rsidP="004A7088">
      <w:pPr>
        <w:spacing w:after="0" w:line="240" w:lineRule="auto"/>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05 мая 2026 года</w:t>
      </w:r>
      <w:r>
        <w:rPr>
          <w:rFonts w:ascii="Times New Roman" w:eastAsia="Times New Roman" w:hAnsi="Times New Roman" w:cs="Times New Roman"/>
          <w:sz w:val="26"/>
          <w:szCs w:val="26"/>
          <w:lang w:val="en-US" w:eastAsia="ru-RU"/>
        </w:rPr>
        <w:t xml:space="preserve">                                                                                                 </w:t>
      </w:r>
      <w:r w:rsidRPr="004A7088">
        <w:rPr>
          <w:rFonts w:ascii="Times New Roman" w:eastAsia="Times New Roman" w:hAnsi="Times New Roman" w:cs="Times New Roman"/>
          <w:sz w:val="26"/>
          <w:szCs w:val="26"/>
          <w:lang w:eastAsia="ru-RU"/>
        </w:rPr>
        <w:t xml:space="preserve"> г. Оренбург</w:t>
      </w:r>
    </w:p>
    <w:p w14:paraId="48ED13F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4A23BAF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соответствии с п. 5 ч. 15 ст. 99 Федерального закона № 44-ФЗ от 05.04.2013 г.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 п. «б» ч.13 Правил ведения реестра недобросовестных поставщиков (подрядчиков, исполнителей), утвержденных Постановлением Правительства РФ от 30.06.2021 № 1078 (далее по тексту – Правила) и на основании Приказа Оренбургского УФАС России № 245/26 от 30.04.2026 г., Комиссия Оренбургского УФАС России по осуществлению внеплановых проверок в составе:</w:t>
      </w:r>
    </w:p>
    <w:p w14:paraId="0A762B85" w14:textId="77777777" w:rsidR="00590501" w:rsidRDefault="004A7088" w:rsidP="004A7088">
      <w:pPr>
        <w:spacing w:after="0" w:line="240" w:lineRule="auto"/>
        <w:ind w:firstLine="709"/>
        <w:jc w:val="both"/>
        <w:rPr>
          <w:rFonts w:ascii="Times New Roman" w:eastAsia="Times New Roman" w:hAnsi="Times New Roman" w:cs="Times New Roman"/>
          <w:sz w:val="26"/>
          <w:szCs w:val="26"/>
          <w:lang w:eastAsia="ru-RU"/>
        </w:rPr>
      </w:pPr>
      <w:r w:rsidRPr="004A7088">
        <w:rPr>
          <w:rFonts w:ascii="Times New Roman" w:eastAsia="Times New Roman" w:hAnsi="Times New Roman" w:cs="Times New Roman"/>
          <w:sz w:val="26"/>
          <w:szCs w:val="26"/>
          <w:lang w:eastAsia="ru-RU"/>
        </w:rPr>
        <w:t xml:space="preserve">Председателя Комиссии: </w:t>
      </w:r>
    </w:p>
    <w:p w14:paraId="57C8F743" w14:textId="6EA1D8BA"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Членов комиссии: </w:t>
      </w:r>
    </w:p>
    <w:p w14:paraId="53C2BB8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присутствии посредством видео-конференц-связи представителей:</w:t>
      </w:r>
    </w:p>
    <w:p w14:paraId="70A0087F" w14:textId="77BAC93E"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Индивидуального предпринимателя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Гулии</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Зульфатовны</w:t>
      </w:r>
      <w:proofErr w:type="spellEnd"/>
      <w:r w:rsidRPr="004A7088">
        <w:rPr>
          <w:rFonts w:ascii="Times New Roman" w:eastAsia="Times New Roman" w:hAnsi="Times New Roman" w:cs="Times New Roman"/>
          <w:sz w:val="26"/>
          <w:szCs w:val="26"/>
          <w:lang w:eastAsia="ru-RU"/>
        </w:rPr>
        <w:t xml:space="preserve"> –</w:t>
      </w:r>
      <w:bookmarkStart w:id="1" w:name="_GoBack"/>
      <w:bookmarkEnd w:id="1"/>
      <w:r w:rsidRPr="004A7088">
        <w:rPr>
          <w:rFonts w:ascii="Times New Roman" w:eastAsia="Times New Roman" w:hAnsi="Times New Roman" w:cs="Times New Roman"/>
          <w:sz w:val="26"/>
          <w:szCs w:val="26"/>
          <w:lang w:eastAsia="ru-RU"/>
        </w:rPr>
        <w:t>действующих на основании доверенности,</w:t>
      </w:r>
    </w:p>
    <w:p w14:paraId="4672D8A9"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отсутствие представителя Муниципального бюджетного учреждения культуры «Гайский историко-краеведческий музей», о дате, времени и месте рассмотрения дела уведомлены надлежащим образом,</w:t>
      </w:r>
    </w:p>
    <w:p w14:paraId="3EEEB438"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рассмотрев обращение Муниципального бюджетного учреждения культуры «Гайский историко-краеведческий музей» о включении в Реестр недобросовестных поставщиков сведений в отношении Индивидуального предпринимателя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Гулии</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Зульфатовны</w:t>
      </w:r>
      <w:proofErr w:type="spellEnd"/>
      <w:r w:rsidRPr="004A7088">
        <w:rPr>
          <w:rFonts w:ascii="Times New Roman" w:eastAsia="Times New Roman" w:hAnsi="Times New Roman" w:cs="Times New Roman"/>
          <w:sz w:val="26"/>
          <w:szCs w:val="26"/>
          <w:lang w:eastAsia="ru-RU"/>
        </w:rPr>
        <w:t xml:space="preserve"> (ИНН:162301752810) в связи с односторонним отказом заказчика от исполнения контракта на выполнение работ по разработке полного цикла образовательной видеоигры «Построй Гай» (извещение № 0353300216326000001), </w:t>
      </w:r>
    </w:p>
    <w:p w14:paraId="6684A69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09F84F1F" w14:textId="77777777" w:rsidR="004A7088" w:rsidRPr="004A7088" w:rsidRDefault="004A7088" w:rsidP="004A7088">
      <w:pPr>
        <w:spacing w:after="0" w:line="240" w:lineRule="auto"/>
        <w:ind w:firstLine="709"/>
        <w:jc w:val="center"/>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УСТАНОВИЛА:</w:t>
      </w:r>
    </w:p>
    <w:p w14:paraId="15FFFE54"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18CC9A7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28 апреля 2026 года в Оренбургское УФАС России через Единую информационную систему поступило обращение (№ 035330021630000001 от 28.04.2026 г., </w:t>
      </w:r>
      <w:proofErr w:type="spellStart"/>
      <w:r w:rsidRPr="004A7088">
        <w:rPr>
          <w:rFonts w:ascii="Times New Roman" w:eastAsia="Times New Roman" w:hAnsi="Times New Roman" w:cs="Times New Roman"/>
          <w:sz w:val="26"/>
          <w:szCs w:val="26"/>
          <w:lang w:eastAsia="ru-RU"/>
        </w:rPr>
        <w:t>вх</w:t>
      </w:r>
      <w:proofErr w:type="spellEnd"/>
      <w:r w:rsidRPr="004A7088">
        <w:rPr>
          <w:rFonts w:ascii="Times New Roman" w:eastAsia="Times New Roman" w:hAnsi="Times New Roman" w:cs="Times New Roman"/>
          <w:sz w:val="26"/>
          <w:szCs w:val="26"/>
          <w:lang w:eastAsia="ru-RU"/>
        </w:rPr>
        <w:t xml:space="preserve">. № 5426/26 от 28.04.2026 г.) Муниципального бюджетного учреждения культуры «Гайский историко-краеведческий музей» (далее – Заказчик) о включении в Реестр недобросовестных поставщиков (подрядчиков, исполнителей) (далее – РНП) сведений в Индивидуального предпринимателя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Гулии</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Зульфатовны</w:t>
      </w:r>
      <w:proofErr w:type="spellEnd"/>
      <w:r w:rsidRPr="004A7088">
        <w:rPr>
          <w:rFonts w:ascii="Times New Roman" w:eastAsia="Times New Roman" w:hAnsi="Times New Roman" w:cs="Times New Roman"/>
          <w:sz w:val="26"/>
          <w:szCs w:val="26"/>
          <w:lang w:eastAsia="ru-RU"/>
        </w:rPr>
        <w:t xml:space="preserve"> (ИНН: 162301752810) (далее – Исполнитель, ИП </w:t>
      </w:r>
      <w:proofErr w:type="spellStart"/>
      <w:r w:rsidRPr="004A7088">
        <w:rPr>
          <w:rFonts w:ascii="Times New Roman" w:eastAsia="Times New Roman" w:hAnsi="Times New Roman" w:cs="Times New Roman"/>
          <w:sz w:val="26"/>
          <w:szCs w:val="26"/>
          <w:lang w:eastAsia="ru-RU"/>
        </w:rPr>
        <w:t>Черницына</w:t>
      </w:r>
      <w:proofErr w:type="spellEnd"/>
      <w:r w:rsidRPr="004A7088">
        <w:rPr>
          <w:rFonts w:ascii="Times New Roman" w:eastAsia="Times New Roman" w:hAnsi="Times New Roman" w:cs="Times New Roman"/>
          <w:sz w:val="26"/>
          <w:szCs w:val="26"/>
          <w:lang w:eastAsia="ru-RU"/>
        </w:rPr>
        <w:t xml:space="preserve"> Г.З.), в связи с односторонним отказом заказчика от исполнения контракта на работы по разработке полного цикла образовательной видеоигры «Построй Гай» (извещение № 0353300216326000001). </w:t>
      </w:r>
    </w:p>
    <w:p w14:paraId="7C4F42D6"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Из обращения Заказчика следует, что 10.03.2026 года между Заказчиком и ИП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Г.З. был заключен Договор № 2026.1 (далее- Договор) на разработку полного цикла видеоигры под ПК. Исполнитель в ходе исполнения Договора прислал визуальные материалы. При этом, визуальный стиль не соответствовал техническому заданию и концепции игры, так как игра должна быть образовательная, формировать положительный образ советского города и его истории. В связи с чем, Заказчиком принято решение об одностороннем отказе от исполнения Договора.</w:t>
      </w:r>
    </w:p>
    <w:p w14:paraId="07C40A0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Представитель Исполнителя, просил сведения об ИП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Г.З. в Реестр недобросовестных поставщиков (подрядчиков, исполнителей) не включать, в связи с тем, что Исполнитель не уклонялся от исполнения Договора, более того был заинтересован в полном исполнении условий Договора. Выявленные, по мнению Заказчика недостатки, своевременно исправлялись.</w:t>
      </w:r>
    </w:p>
    <w:p w14:paraId="06C0580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Представитель Исполнителя обратил внимание Комиссии Оренбургского УФАС России на то обстоятельство, что Заказчик при принятии решения об одностороннем отказе от исполнения Договора использует оценочные суждения, делая выводы исключительно из собственных взглядов и видения, что свидетельствует о субъективности и несостоятельности предъявленных замечаний.</w:t>
      </w:r>
    </w:p>
    <w:p w14:paraId="1BFDB699"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Комиссия Оренбургского УФАС России, рассмотрев материалы внеплановой проверки, заслушав приведенные доводы, установила следующее:</w:t>
      </w:r>
    </w:p>
    <w:p w14:paraId="6F52CBF1"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24.02.2026 г. Заказчиком на официальном сайте Российской Федерации (единая информационная система) для размещения информации о размещении закупок в сети Интернет www.zakupki.gov.ru и на электронной площадке было размещено извещение о проведении запроса котировок в электронной форме на работы по разработке полного цикла образовательной видеоигры «Построй Гай» (извещения № 0353300216326000001).</w:t>
      </w:r>
    </w:p>
    <w:p w14:paraId="5666DDE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Начальная цена контракта составляет 2 000 000,00 рублей. </w:t>
      </w:r>
    </w:p>
    <w:p w14:paraId="435AC7F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Протоколу подведения итогов определения поставщика (подрядчика, исполнителя) от 04.03.2026 №ИЗК1, ИП </w:t>
      </w:r>
      <w:proofErr w:type="spellStart"/>
      <w:r w:rsidRPr="004A7088">
        <w:rPr>
          <w:rFonts w:ascii="Times New Roman" w:eastAsia="Times New Roman" w:hAnsi="Times New Roman" w:cs="Times New Roman"/>
          <w:sz w:val="26"/>
          <w:szCs w:val="26"/>
          <w:lang w:eastAsia="ru-RU"/>
        </w:rPr>
        <w:t>Черницына</w:t>
      </w:r>
      <w:proofErr w:type="spellEnd"/>
      <w:r w:rsidRPr="004A7088">
        <w:rPr>
          <w:rFonts w:ascii="Times New Roman" w:eastAsia="Times New Roman" w:hAnsi="Times New Roman" w:cs="Times New Roman"/>
          <w:sz w:val="26"/>
          <w:szCs w:val="26"/>
          <w:lang w:eastAsia="ru-RU"/>
        </w:rPr>
        <w:t xml:space="preserve"> Г.З. была признана победителем закупки.</w:t>
      </w:r>
    </w:p>
    <w:p w14:paraId="0CB75184" w14:textId="1AF8F772"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10.03.2026 г. между Заказчиком и ИП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Г.З. был Договор № 2026.1 на разработку полного цикла видеоигры под ПК. </w:t>
      </w:r>
    </w:p>
    <w:p w14:paraId="6FBEDA31"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пункту 1.1. Договора Исполнитель по заданию Заказчика обязуется выполнить работы по разработке полного цикла образовательной видеоигры «Построй Гай», в срок, установленный настоящим Договором и в соответствии с Техническим </w:t>
      </w:r>
      <w:r w:rsidRPr="004A7088">
        <w:rPr>
          <w:rFonts w:ascii="Times New Roman" w:eastAsia="Times New Roman" w:hAnsi="Times New Roman" w:cs="Times New Roman"/>
          <w:sz w:val="26"/>
          <w:szCs w:val="26"/>
          <w:lang w:eastAsia="ru-RU"/>
        </w:rPr>
        <w:lastRenderedPageBreak/>
        <w:t>заданием (Приложение № 1 к настоящему Договору), а Заказчик обязуется принять результат работы и оплатить его.</w:t>
      </w:r>
    </w:p>
    <w:p w14:paraId="07C56E35"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соответствии п. 1.2. Договора, выполняемые по настоящему договору работы по разработке видеоигры должны соответствовать функциональным, техническим и иным требованиям, согласованным Сторонами в Техническом задании (Приложение № 1 к настоящему Договору).</w:t>
      </w:r>
    </w:p>
    <w:p w14:paraId="3C21AA04"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п. 1.4. Договора исходные данные для разработки видеоигры «Построй Гай» – комплекс материалов, содержащий текстовую, графическую информацию, фотоматериалы и т. п., необходимые для формирования контента – Исполнителю предоставляет Заказчик в течение 5 (Пяти) рабочих дней с даты заключения настоящего Договора.</w:t>
      </w:r>
    </w:p>
    <w:p w14:paraId="72842F38"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Пунктом 1.6 Договора определено, что готовая видеоигра, разработанная Исполнителем, подлежит письменному согласованию с Заказчиком.</w:t>
      </w:r>
    </w:p>
    <w:p w14:paraId="54147A64"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Пунктом 1.7. Договора определено, что срок выполнения работ: с момента заключения настоящего Договора до 30 июня 2026 г. </w:t>
      </w:r>
    </w:p>
    <w:p w14:paraId="30A842B1"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Разработка ГДД Исполнителем: описание основных механик, концепт-арт, концепт UI.: до 05 апреля 2026 года.</w:t>
      </w:r>
    </w:p>
    <w:p w14:paraId="42135D83"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Вертикальный срез: готовность основных механик, объектов, 6 игровых уровней, готовность визуальной части 60%: до 05 мая 2026 года.</w:t>
      </w:r>
    </w:p>
    <w:p w14:paraId="7BF742ED"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Готовность демоверсии: до 10 мая 2026 года.</w:t>
      </w:r>
    </w:p>
    <w:p w14:paraId="57CF8438"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Пунктом 2.1 Договора предусмотрено, что Исполнитель обязуется выполнить все работы по разработке полного цикла образовательной видеоигры «Построй Гай», отвечающие требованиям, согласованным Сторонами настоящего договора в Техническом задании (Приложение № 1 к настоящему Договору).</w:t>
      </w:r>
    </w:p>
    <w:p w14:paraId="4F103794"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п. 3.1. Договора Цена договора составляет: 931 000 рублей 00 копеек (девятьсот тридцать одна тысяча) 00 копеек.</w:t>
      </w:r>
    </w:p>
    <w:p w14:paraId="3C30FD6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В соответствии с п. 5.7 Договора в случае возникновения между Сторонами настоящего Договора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настоящего Договора или причинной связи между действиями Исполнителя и обнаруженными недостатками. Если экспертиза назначена по соглашению Сторон, расходы на экспертизу Стороны несут поровну. </w:t>
      </w:r>
    </w:p>
    <w:p w14:paraId="3E776EE8"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п. 3 ч. 1 ст. 94 Закона о контрактной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 взаимодействие заказчика с поставщиком (подрядчиком, исполнителем) при исполнении, изменении, расторжении контракта в соответствии со статьей 95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06E67D1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Частью 2 статьи 94 Закона о контрактной системе установлено, что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w:t>
      </w:r>
      <w:r w:rsidRPr="004A7088">
        <w:rPr>
          <w:rFonts w:ascii="Times New Roman" w:eastAsia="Times New Roman" w:hAnsi="Times New Roman" w:cs="Times New Roman"/>
          <w:sz w:val="26"/>
          <w:szCs w:val="26"/>
          <w:lang w:eastAsia="ru-RU"/>
        </w:rPr>
        <w:lastRenderedPageBreak/>
        <w:t>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14:paraId="535AC2A3"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ходе исполнения Договора Исполнитель направил Заказчику разработки визуальных материалов.</w:t>
      </w:r>
    </w:p>
    <w:p w14:paraId="5BE9BFC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10.04.2026 г. Заказчик в адрес Исполнителя направил претензию, согласно которой представленные материалы не соответствуют визуальному стилю Заказчика. Также Заказчик установил срок на устранение замечаний до 16.04.2026 г.</w:t>
      </w:r>
    </w:p>
    <w:p w14:paraId="316F29F5" w14:textId="3FDE0E81"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14.04.2026 г. Исполнитель повторно направил Заказчику, разработанный проект с учетом его замечаний. Ответ Заказчика в материалы дела не представлен.</w:t>
      </w:r>
    </w:p>
    <w:p w14:paraId="10A96EB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письменным пояснениям Заказчика, доработанный визуальный проект содержал агрессивные образы строителей, не соответствующие идее Заказчика - Детского культурно-просветительского центра «Хроники советского детства».</w:t>
      </w:r>
    </w:p>
    <w:p w14:paraId="4F099D6D"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В связи с чем Заказчиком было принято решение об одностороннем отказе от исполнения Договора. </w:t>
      </w:r>
    </w:p>
    <w:p w14:paraId="3EE93FD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Частью 8 статьи 95 Закона о контрактной системе установлено,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1543858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соответствии с ч. 9 ст.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A677FF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Пунктом 7.1 Договора предусмотрено, что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 и настоящим Договором.</w:t>
      </w:r>
    </w:p>
    <w:p w14:paraId="4FA5D9D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п. 7.2. Договора Заказчик вправе в одностороннем порядке отказаться от исполнения обязательств по настоящему Договору, в случаях:</w:t>
      </w:r>
    </w:p>
    <w:p w14:paraId="28A3BBA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4"/>
          <w:szCs w:val="24"/>
          <w:lang w:eastAsia="ru-RU"/>
        </w:rPr>
        <w:t xml:space="preserve">– </w:t>
      </w:r>
      <w:r w:rsidRPr="004A7088">
        <w:rPr>
          <w:rFonts w:ascii="Times New Roman" w:eastAsia="Times New Roman" w:hAnsi="Times New Roman" w:cs="Times New Roman"/>
          <w:sz w:val="26"/>
          <w:szCs w:val="26"/>
          <w:lang w:eastAsia="ru-RU"/>
        </w:rPr>
        <w:t>нарушения Исполнителем сроков исполнения обязательств по настоящему Договору;</w:t>
      </w:r>
    </w:p>
    <w:p w14:paraId="2C63546E"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4"/>
          <w:szCs w:val="24"/>
          <w:lang w:eastAsia="ru-RU"/>
        </w:rPr>
        <w:t xml:space="preserve">– </w:t>
      </w:r>
      <w:r w:rsidRPr="004A7088">
        <w:rPr>
          <w:rFonts w:ascii="Times New Roman" w:eastAsia="Times New Roman" w:hAnsi="Times New Roman" w:cs="Times New Roman"/>
          <w:sz w:val="26"/>
          <w:szCs w:val="26"/>
          <w:lang w:eastAsia="ru-RU"/>
        </w:rPr>
        <w:t>существенного нарушения требований к качеству параметров видеоигры, содержащихся в Техническом задании (Приложение № 1 к настоящему Договору);</w:t>
      </w:r>
    </w:p>
    <w:p w14:paraId="79AADA79"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4"/>
          <w:szCs w:val="24"/>
          <w:lang w:eastAsia="ru-RU"/>
        </w:rPr>
        <w:t xml:space="preserve">– </w:t>
      </w:r>
      <w:r w:rsidRPr="004A7088">
        <w:rPr>
          <w:rFonts w:ascii="Times New Roman" w:eastAsia="Times New Roman" w:hAnsi="Times New Roman" w:cs="Times New Roman"/>
          <w:sz w:val="26"/>
          <w:szCs w:val="26"/>
          <w:lang w:eastAsia="ru-RU"/>
        </w:rPr>
        <w:t>ликвидации Исполнителя, кроме случаев, когда законом или иными правовыми актами исполнение обязательства Исполнителя возлагается на другое лицо;</w:t>
      </w:r>
    </w:p>
    <w:p w14:paraId="2A8C3DF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4"/>
          <w:szCs w:val="24"/>
          <w:lang w:eastAsia="ru-RU"/>
        </w:rPr>
        <w:t xml:space="preserve">– </w:t>
      </w:r>
      <w:r w:rsidRPr="004A7088">
        <w:rPr>
          <w:rFonts w:ascii="Times New Roman" w:eastAsia="Times New Roman" w:hAnsi="Times New Roman" w:cs="Times New Roman"/>
          <w:sz w:val="26"/>
          <w:szCs w:val="26"/>
          <w:lang w:eastAsia="ru-RU"/>
        </w:rPr>
        <w:t>в иных случаях, предусмотренных действующим законодательством Российской Федерации и настоящим Договором.</w:t>
      </w:r>
    </w:p>
    <w:p w14:paraId="6132A0E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Согласно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6E54564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w:t>
      </w:r>
      <w:r w:rsidRPr="004A7088">
        <w:rPr>
          <w:rFonts w:ascii="Times New Roman" w:eastAsia="Times New Roman" w:hAnsi="Times New Roman" w:cs="Times New Roman"/>
          <w:sz w:val="26"/>
          <w:szCs w:val="26"/>
          <w:lang w:eastAsia="ru-RU"/>
        </w:rPr>
        <w:lastRenderedPageBreak/>
        <w:t>предусмотренных частью 5 статьи 103 настоящего Федерального закона, такое решение не размещается на официальном сайте;</w:t>
      </w:r>
    </w:p>
    <w:p w14:paraId="347F9646"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1DB4CE3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14:paraId="3C5855E5"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С учетом требований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23E40F54"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16.04.2026 г. на основании ч. 9 ст. 95 Закона о контрактной системе Заказчиком было принято решение об одностороннем отказе от исполнения договора № 2026.1 от 10.03.2026 г. </w:t>
      </w:r>
    </w:p>
    <w:p w14:paraId="7F2CDAE2"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16.04.2026 г. 12:48 (МСК) решение об одностороннем отказе от исполнения Договора (исх. б/н от 16.04.2026) было размещено Заказчиком в ЕИС. Поставщиком получено: 16.04.2026 г. 12:48 (МСК). </w:t>
      </w:r>
    </w:p>
    <w:p w14:paraId="76D61A5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Частью 14 статьи 95 Закона о контрактной системе установлено, что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EBD80C2" w14:textId="2C2C52DE"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Учитывая положения ч. 12.1, ч. 13, ч. 14 ст. 95 Закона о контрактной системе, односторонний отказ Заказчика от исполнения контракта вступил в силу 27.04.2026 </w:t>
      </w:r>
      <w:proofErr w:type="gramStart"/>
      <w:r>
        <w:rPr>
          <w:rFonts w:ascii="Times New Roman" w:eastAsia="Times New Roman" w:hAnsi="Times New Roman" w:cs="Times New Roman"/>
          <w:sz w:val="26"/>
          <w:szCs w:val="26"/>
          <w:lang w:eastAsia="ru-RU"/>
        </w:rPr>
        <w:t>г.</w:t>
      </w:r>
      <w:r w:rsidRPr="004A7088">
        <w:rPr>
          <w:rFonts w:ascii="Times New Roman" w:eastAsia="Times New Roman" w:hAnsi="Times New Roman" w:cs="Times New Roman"/>
          <w:sz w:val="26"/>
          <w:szCs w:val="26"/>
          <w:lang w:eastAsia="ru-RU"/>
        </w:rPr>
        <w:t xml:space="preserve"> Следовательно</w:t>
      </w:r>
      <w:proofErr w:type="gramEnd"/>
      <w:r w:rsidRPr="004A7088">
        <w:rPr>
          <w:rFonts w:ascii="Times New Roman" w:eastAsia="Times New Roman" w:hAnsi="Times New Roman" w:cs="Times New Roman"/>
          <w:sz w:val="26"/>
          <w:szCs w:val="26"/>
          <w:lang w:eastAsia="ru-RU"/>
        </w:rPr>
        <w:t>, на дату заседания Комиссии Оренбургского УФАС России решение Заказчика об одностороннем отказе от исполнения контракта считается вступившим в силу.</w:t>
      </w:r>
    </w:p>
    <w:p w14:paraId="17013D6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В соответствии с ч. 16 ст. 95 Закона о контрактной системе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w:t>
      </w:r>
      <w:r w:rsidRPr="004A7088">
        <w:rPr>
          <w:rFonts w:ascii="Times New Roman" w:eastAsia="Times New Roman" w:hAnsi="Times New Roman" w:cs="Times New Roman"/>
          <w:sz w:val="26"/>
          <w:szCs w:val="26"/>
          <w:lang w:eastAsia="ru-RU"/>
        </w:rPr>
        <w:lastRenderedPageBreak/>
        <w:t>обращение о включении информации о поставщике (подрядчике, исполнителе) в реестр недобросовестных поставщиков (подрядчиков, исполнителей).</w:t>
      </w:r>
    </w:p>
    <w:p w14:paraId="259DC20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Комиссией Оренбургского УФАС России отмечается, что Заказчиком вышеуказанные требования Закона о контрактной системе соблюдены.</w:t>
      </w:r>
    </w:p>
    <w:p w14:paraId="302A75E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соответствии с ч. 1 ст. 104 Закона о контрактной системе,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14:paraId="67FA824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14:paraId="1063AED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ч. 7 ст. 104 Закона о контрактной системе, уполномоченный орган осуществляет проверку информации и документов, указанных в пунктах 6 - 8 настоящих Правил, на наличие фактов, подтверждающих недобросовестность поставщика (подрядчика, исполнителя), не позднее 5 рабочих дней с даты их поступления. </w:t>
      </w:r>
    </w:p>
    <w:p w14:paraId="5B371C8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закупок, следовательно, является механизмом защиты государственных и муниципальных заказчиков от недобросовестных действий поставщиков (исполнителей, подрядчиков).</w:t>
      </w:r>
    </w:p>
    <w:p w14:paraId="6C4F8B77"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Основанием для включения в реестр недобросовестных поставщиков является только такое действие лица, которое предполагает его недобросовестное поведение, совершение им действий (бездействия) в противоречие требованиям Закона о контрактной системе. </w:t>
      </w:r>
    </w:p>
    <w:p w14:paraId="42A6353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правовой позиции Верховного Суда Российской Федерации, сформированной Определением от 19.02.2015 № 301-КГ15-632 по делу № А29-3152/2014, при рассмотрении вопроса о законности решения о включении или </w:t>
      </w:r>
      <w:proofErr w:type="spellStart"/>
      <w:r w:rsidRPr="004A7088">
        <w:rPr>
          <w:rFonts w:ascii="Times New Roman" w:eastAsia="Times New Roman" w:hAnsi="Times New Roman" w:cs="Times New Roman"/>
          <w:sz w:val="26"/>
          <w:szCs w:val="26"/>
          <w:lang w:eastAsia="ru-RU"/>
        </w:rPr>
        <w:t>невключении</w:t>
      </w:r>
      <w:proofErr w:type="spellEnd"/>
      <w:r w:rsidRPr="004A7088">
        <w:rPr>
          <w:rFonts w:ascii="Times New Roman" w:eastAsia="Times New Roman" w:hAnsi="Times New Roman" w:cs="Times New Roman"/>
          <w:sz w:val="26"/>
          <w:szCs w:val="26"/>
          <w:lang w:eastAsia="ru-RU"/>
        </w:rPr>
        <w:t xml:space="preserve">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w:t>
      </w:r>
    </w:p>
    <w:p w14:paraId="7D534E12"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w:t>
      </w:r>
      <w:hyperlink r:id="rId8" w:tgtFrame="\" w:history="1">
        <w:r w:rsidRPr="004A7088">
          <w:rPr>
            <w:rFonts w:ascii="Times New Roman" w:eastAsia="Times New Roman" w:hAnsi="Times New Roman" w:cs="Times New Roman"/>
            <w:color w:val="000080"/>
            <w:sz w:val="26"/>
            <w:szCs w:val="26"/>
            <w:u w:val="single"/>
            <w:lang w:eastAsia="ru-RU"/>
          </w:rPr>
          <w:t>пункту 3 статьи 1</w:t>
        </w:r>
      </w:hyperlink>
      <w:r w:rsidRPr="004A7088">
        <w:rPr>
          <w:rFonts w:ascii="Times New Roman" w:eastAsia="Times New Roman" w:hAnsi="Times New Roman" w:cs="Times New Roman"/>
          <w:sz w:val="26"/>
          <w:szCs w:val="26"/>
          <w:lang w:eastAsia="ru-RU"/>
        </w:rPr>
        <w:t xml:space="preserve">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14:paraId="7FE70E5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w:t>
      </w:r>
      <w:hyperlink r:id="rId9" w:tgtFrame="\" w:history="1">
        <w:r w:rsidRPr="004A7088">
          <w:rPr>
            <w:rFonts w:ascii="Times New Roman" w:eastAsia="Times New Roman" w:hAnsi="Times New Roman" w:cs="Times New Roman"/>
            <w:color w:val="000080"/>
            <w:sz w:val="26"/>
            <w:szCs w:val="26"/>
            <w:u w:val="single"/>
            <w:lang w:eastAsia="ru-RU"/>
          </w:rPr>
          <w:t>пункта 5 статьи 10</w:t>
        </w:r>
      </w:hyperlink>
      <w:r w:rsidRPr="004A7088">
        <w:rPr>
          <w:rFonts w:ascii="Times New Roman" w:eastAsia="Times New Roman" w:hAnsi="Times New Roman" w:cs="Times New Roman"/>
          <w:sz w:val="26"/>
          <w:szCs w:val="26"/>
          <w:lang w:eastAsia="ru-RU"/>
        </w:rPr>
        <w:t xml:space="preserve"> ГК РФ добросовестность участников гражданских правоотношений и разумность их действий предполагается, пока не доказано иное.</w:t>
      </w:r>
    </w:p>
    <w:p w14:paraId="5E1EC925"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lastRenderedPageBreak/>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14:paraId="5E1775A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w:t>
      </w:r>
      <w:hyperlink r:id="rId10" w:tgtFrame="\" w:history="1">
        <w:r w:rsidRPr="004A7088">
          <w:rPr>
            <w:rFonts w:ascii="Times New Roman" w:eastAsia="Times New Roman" w:hAnsi="Times New Roman" w:cs="Times New Roman"/>
            <w:color w:val="000080"/>
            <w:sz w:val="26"/>
            <w:szCs w:val="26"/>
            <w:u w:val="single"/>
            <w:lang w:eastAsia="ru-RU"/>
          </w:rPr>
          <w:t>Конституции</w:t>
        </w:r>
      </w:hyperlink>
      <w:r w:rsidRPr="004A7088">
        <w:rPr>
          <w:rFonts w:ascii="Times New Roman" w:eastAsia="Times New Roman" w:hAnsi="Times New Roman" w:cs="Times New Roman"/>
          <w:sz w:val="26"/>
          <w:szCs w:val="26"/>
          <w:lang w:eastAsia="ru-RU"/>
        </w:rPr>
        <w:t xml:space="preserve">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(Постановление Конституционного Суда Российской Федерации от 30.07.2001 № </w:t>
      </w:r>
      <w:hyperlink r:id="rId11" w:tgtFrame="Постановление Конституционного Суда РФ от 30.07.2001 N 13-П \" w:history="1">
        <w:r w:rsidRPr="004A7088">
          <w:rPr>
            <w:rFonts w:ascii="Times New Roman" w:eastAsia="Times New Roman" w:hAnsi="Times New Roman" w:cs="Times New Roman"/>
            <w:color w:val="000080"/>
            <w:sz w:val="26"/>
            <w:szCs w:val="26"/>
            <w:u w:val="single"/>
            <w:lang w:eastAsia="ru-RU"/>
          </w:rPr>
          <w:t>№ 13-П</w:t>
        </w:r>
      </w:hyperlink>
      <w:r w:rsidRPr="004A7088">
        <w:rPr>
          <w:rFonts w:ascii="Times New Roman" w:eastAsia="Times New Roman" w:hAnsi="Times New Roman" w:cs="Times New Roman"/>
          <w:sz w:val="26"/>
          <w:szCs w:val="26"/>
          <w:lang w:eastAsia="ru-RU"/>
        </w:rPr>
        <w:t xml:space="preserve">, от 21.11.2002 </w:t>
      </w:r>
      <w:hyperlink r:id="rId12" w:tgtFrame="Постановление Конституционного Суда РФ от 21.11.2002 N 15-П \" w:history="1">
        <w:r w:rsidRPr="004A7088">
          <w:rPr>
            <w:rFonts w:ascii="Times New Roman" w:eastAsia="Times New Roman" w:hAnsi="Times New Roman" w:cs="Times New Roman"/>
            <w:color w:val="000080"/>
            <w:sz w:val="26"/>
            <w:szCs w:val="26"/>
            <w:u w:val="single"/>
            <w:lang w:eastAsia="ru-RU"/>
          </w:rPr>
          <w:t>№ 15-П</w:t>
        </w:r>
      </w:hyperlink>
      <w:r w:rsidRPr="004A7088">
        <w:rPr>
          <w:rFonts w:ascii="Times New Roman" w:eastAsia="Times New Roman" w:hAnsi="Times New Roman" w:cs="Times New Roman"/>
          <w:sz w:val="26"/>
          <w:szCs w:val="26"/>
          <w:lang w:eastAsia="ru-RU"/>
        </w:rPr>
        <w:t>).</w:t>
      </w:r>
    </w:p>
    <w:p w14:paraId="450A0A2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Согласно </w:t>
      </w:r>
      <w:hyperlink r:id="rId13" w:history="1">
        <w:r w:rsidRPr="004A7088">
          <w:rPr>
            <w:rFonts w:ascii="Times New Roman" w:eastAsia="Times New Roman" w:hAnsi="Times New Roman" w:cs="Times New Roman"/>
            <w:color w:val="000080"/>
            <w:sz w:val="26"/>
            <w:szCs w:val="26"/>
            <w:u w:val="single"/>
            <w:lang w:eastAsia="ru-RU"/>
          </w:rPr>
          <w:t>подпункту «б» пункта 13 раздела 3</w:t>
        </w:r>
      </w:hyperlink>
      <w:r w:rsidRPr="004A7088">
        <w:rPr>
          <w:rFonts w:ascii="Times New Roman" w:eastAsia="Times New Roman" w:hAnsi="Times New Roman" w:cs="Times New Roman"/>
          <w:sz w:val="26"/>
          <w:szCs w:val="26"/>
          <w:lang w:eastAsia="ru-RU"/>
        </w:rPr>
        <w:t xml:space="preserve"> Правил ведения реестра недобросовестных поставщиков (подрядчиков, исполнителей), утвержденных Постановлением Правительства РФ от 30.06.2021 №1078 (далее - Правила), по результатам рассмотрения обращения и проведения проверок, указанных в </w:t>
      </w:r>
      <w:hyperlink r:id="rId14" w:history="1">
        <w:r w:rsidRPr="004A7088">
          <w:rPr>
            <w:rFonts w:ascii="Times New Roman" w:eastAsia="Times New Roman" w:hAnsi="Times New Roman" w:cs="Times New Roman"/>
            <w:color w:val="000080"/>
            <w:sz w:val="26"/>
            <w:szCs w:val="26"/>
            <w:u w:val="single"/>
            <w:lang w:eastAsia="ru-RU"/>
          </w:rPr>
          <w:t>подпункте «а» настоящего пункта</w:t>
        </w:r>
      </w:hyperlink>
      <w:r w:rsidRPr="004A7088">
        <w:rPr>
          <w:rFonts w:ascii="Times New Roman" w:eastAsia="Times New Roman" w:hAnsi="Times New Roman" w:cs="Times New Roman"/>
          <w:sz w:val="26"/>
          <w:szCs w:val="26"/>
          <w:lang w:eastAsia="ru-RU"/>
        </w:rPr>
        <w:t xml:space="preserve">, контрольный орган принимает решение о включении информации об участнике закупки, о поставщике (подрядчике, исполнителе) в реестр либо в случаях, предусмотренных </w:t>
      </w:r>
      <w:hyperlink r:id="rId15" w:history="1">
        <w:r w:rsidRPr="004A7088">
          <w:rPr>
            <w:rFonts w:ascii="Times New Roman" w:eastAsia="Times New Roman" w:hAnsi="Times New Roman" w:cs="Times New Roman"/>
            <w:color w:val="000080"/>
            <w:sz w:val="26"/>
            <w:szCs w:val="26"/>
            <w:u w:val="single"/>
            <w:lang w:eastAsia="ru-RU"/>
          </w:rPr>
          <w:t>пунктами 14</w:t>
        </w:r>
      </w:hyperlink>
      <w:r w:rsidRPr="004A7088">
        <w:rPr>
          <w:rFonts w:ascii="Times New Roman" w:eastAsia="Times New Roman" w:hAnsi="Times New Roman" w:cs="Times New Roman"/>
          <w:sz w:val="26"/>
          <w:szCs w:val="26"/>
          <w:lang w:eastAsia="ru-RU"/>
        </w:rPr>
        <w:t xml:space="preserve"> и </w:t>
      </w:r>
      <w:hyperlink r:id="rId16" w:history="1">
        <w:r w:rsidRPr="004A7088">
          <w:rPr>
            <w:rFonts w:ascii="Times New Roman" w:eastAsia="Times New Roman" w:hAnsi="Times New Roman" w:cs="Times New Roman"/>
            <w:color w:val="000080"/>
            <w:sz w:val="26"/>
            <w:szCs w:val="26"/>
            <w:u w:val="single"/>
            <w:lang w:eastAsia="ru-RU"/>
          </w:rPr>
          <w:t>15</w:t>
        </w:r>
      </w:hyperlink>
      <w:r w:rsidRPr="004A7088">
        <w:rPr>
          <w:rFonts w:ascii="Times New Roman" w:eastAsia="Times New Roman" w:hAnsi="Times New Roman" w:cs="Times New Roman"/>
          <w:sz w:val="26"/>
          <w:szCs w:val="26"/>
          <w:lang w:eastAsia="ru-RU"/>
        </w:rPr>
        <w:t xml:space="preserve"> настоящих Правил, об отказе во включении участника закупки, поставщика (подрядчика, исполнителя) в реестр.</w:t>
      </w:r>
    </w:p>
    <w:p w14:paraId="2D3506CA"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В силу положений </w:t>
      </w:r>
      <w:hyperlink r:id="rId17" w:history="1">
        <w:proofErr w:type="spellStart"/>
        <w:r w:rsidRPr="004A7088">
          <w:rPr>
            <w:rFonts w:ascii="Times New Roman" w:eastAsia="Times New Roman" w:hAnsi="Times New Roman" w:cs="Times New Roman"/>
            <w:color w:val="000080"/>
            <w:sz w:val="26"/>
            <w:szCs w:val="26"/>
            <w:u w:val="single"/>
            <w:lang w:eastAsia="ru-RU"/>
          </w:rPr>
          <w:t>абз</w:t>
        </w:r>
        <w:proofErr w:type="spellEnd"/>
        <w:r w:rsidRPr="004A7088">
          <w:rPr>
            <w:rFonts w:ascii="Times New Roman" w:eastAsia="Times New Roman" w:hAnsi="Times New Roman" w:cs="Times New Roman"/>
            <w:color w:val="000080"/>
            <w:sz w:val="26"/>
            <w:szCs w:val="26"/>
            <w:u w:val="single"/>
            <w:lang w:eastAsia="ru-RU"/>
          </w:rPr>
          <w:t xml:space="preserve">. 3 </w:t>
        </w:r>
        <w:proofErr w:type="spellStart"/>
        <w:r w:rsidRPr="004A7088">
          <w:rPr>
            <w:rFonts w:ascii="Times New Roman" w:eastAsia="Times New Roman" w:hAnsi="Times New Roman" w:cs="Times New Roman"/>
            <w:color w:val="000080"/>
            <w:sz w:val="26"/>
            <w:szCs w:val="26"/>
            <w:u w:val="single"/>
            <w:lang w:eastAsia="ru-RU"/>
          </w:rPr>
          <w:t>пп</w:t>
        </w:r>
        <w:proofErr w:type="spellEnd"/>
        <w:r w:rsidRPr="004A7088">
          <w:rPr>
            <w:rFonts w:ascii="Times New Roman" w:eastAsia="Times New Roman" w:hAnsi="Times New Roman" w:cs="Times New Roman"/>
            <w:color w:val="000080"/>
            <w:sz w:val="26"/>
            <w:szCs w:val="26"/>
            <w:u w:val="single"/>
            <w:lang w:eastAsia="ru-RU"/>
          </w:rPr>
          <w:t>. «а» п. 15</w:t>
        </w:r>
      </w:hyperlink>
      <w:r w:rsidRPr="004A7088">
        <w:rPr>
          <w:rFonts w:ascii="Times New Roman" w:eastAsia="Times New Roman" w:hAnsi="Times New Roman" w:cs="Times New Roman"/>
          <w:sz w:val="26"/>
          <w:szCs w:val="26"/>
          <w:lang w:eastAsia="ru-RU"/>
        </w:rPr>
        <w:t xml:space="preserve"> Правил ведения реестра недобросовестных поставщиков (подрядчиков, исполнителей), утвержденных постановлением Правительства РФ от 30.06.2021 г. № 1078, орган контроля принимает решение об отказе во включении информации о поставщике (подрядчике, исполнителе) в реестр, в случае если заказчиком не подтверждены факты существенного нарушения поставщиком (подрядчиком, исполнителем) условий контракта. </w:t>
      </w:r>
    </w:p>
    <w:p w14:paraId="66522DD3"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В то же время, необходимо отметить, что Комиссия антимонопольного органа не обладает полномочиями по разрешению гражданско-правовых разногласий и оценке обстоятельств, связанных с исполнением контракта. </w:t>
      </w:r>
    </w:p>
    <w:p w14:paraId="79B4EB9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Из материалов дела усматривается, что Общество проявляло заинтересованность в исполнении контракта. В материалы дела представлена переписка между Исполнителем и Заказчиком по поводу исполнения контракта. Также Исполнитель направлял Заказчику на утверждение проекты видеоигры, вносил соответствующие корректировки, согласно направленным со стороны Заказчика замечаниям, которые по мнению Исполнителя носят субъективный характер.</w:t>
      </w:r>
    </w:p>
    <w:p w14:paraId="2CBDF371"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 xml:space="preserve">На основании исследования имеющихся в материалах дела документов, Комиссия Оренбургского УФАС России обстоятельств, объективно свидетельствующих о наличии у Исполнителя намерения отказаться от исполнения контракта либо о совершении им умышленных действий, направленных на неисполнение контракта, на нарушение его условий, не выявила. Достаточные основания для включения информации об ИП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Г.З. в Реестр недобросовестных поставщиков, отсутствуют. </w:t>
      </w:r>
    </w:p>
    <w:p w14:paraId="0E3100E8"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На основании вышеизложенного, Комиссия Оренбургского УФАС России, руководствуясь Постановлением Правительства РФ от 30.06.2021 № 1078 «О порядке ведения реестра недобросовестных поставщиков (подрядчиков, исполнителей)», ч. 2 ст. 104 Закона о контрактной системе,</w:t>
      </w:r>
    </w:p>
    <w:p w14:paraId="08FC895E"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5B2EA0C1" w14:textId="77777777" w:rsidR="004A7088" w:rsidRPr="004A7088" w:rsidRDefault="004A7088" w:rsidP="004A7088">
      <w:pPr>
        <w:spacing w:after="0" w:line="240" w:lineRule="auto"/>
        <w:ind w:firstLine="709"/>
        <w:jc w:val="center"/>
        <w:rPr>
          <w:rFonts w:ascii="Times New Roman" w:eastAsia="Times New Roman" w:hAnsi="Times New Roman" w:cs="Times New Roman"/>
          <w:sz w:val="24"/>
          <w:szCs w:val="24"/>
          <w:lang w:eastAsia="ru-RU"/>
        </w:rPr>
      </w:pPr>
      <w:r w:rsidRPr="004A7088">
        <w:rPr>
          <w:rFonts w:ascii="Times New Roman" w:eastAsia="Times New Roman" w:hAnsi="Times New Roman" w:cs="Times New Roman"/>
          <w:b/>
          <w:bCs/>
          <w:sz w:val="26"/>
          <w:szCs w:val="26"/>
          <w:lang w:eastAsia="ru-RU"/>
        </w:rPr>
        <w:t>РЕШИЛА:</w:t>
      </w:r>
    </w:p>
    <w:p w14:paraId="26DA0280"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149EC20B"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lastRenderedPageBreak/>
        <w:t xml:space="preserve">Отказать Муниципальному бюджетному учреждению культуры «Гайский историко-краеведческий музей» во включении в Реестр недобросовестных поставщиков сведений в отношении Индивидуального предпринимателя </w:t>
      </w:r>
      <w:proofErr w:type="spellStart"/>
      <w:r w:rsidRPr="004A7088">
        <w:rPr>
          <w:rFonts w:ascii="Times New Roman" w:eastAsia="Times New Roman" w:hAnsi="Times New Roman" w:cs="Times New Roman"/>
          <w:sz w:val="26"/>
          <w:szCs w:val="26"/>
          <w:lang w:eastAsia="ru-RU"/>
        </w:rPr>
        <w:t>Черницыной</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Гулии</w:t>
      </w:r>
      <w:proofErr w:type="spellEnd"/>
      <w:r w:rsidRPr="004A7088">
        <w:rPr>
          <w:rFonts w:ascii="Times New Roman" w:eastAsia="Times New Roman" w:hAnsi="Times New Roman" w:cs="Times New Roman"/>
          <w:sz w:val="26"/>
          <w:szCs w:val="26"/>
          <w:lang w:eastAsia="ru-RU"/>
        </w:rPr>
        <w:t xml:space="preserve"> </w:t>
      </w:r>
      <w:proofErr w:type="spellStart"/>
      <w:r w:rsidRPr="004A7088">
        <w:rPr>
          <w:rFonts w:ascii="Times New Roman" w:eastAsia="Times New Roman" w:hAnsi="Times New Roman" w:cs="Times New Roman"/>
          <w:sz w:val="26"/>
          <w:szCs w:val="26"/>
          <w:lang w:eastAsia="ru-RU"/>
        </w:rPr>
        <w:t>Зульфатовны</w:t>
      </w:r>
      <w:proofErr w:type="spellEnd"/>
      <w:r w:rsidRPr="004A7088">
        <w:rPr>
          <w:rFonts w:ascii="Times New Roman" w:eastAsia="Times New Roman" w:hAnsi="Times New Roman" w:cs="Times New Roman"/>
          <w:sz w:val="26"/>
          <w:szCs w:val="26"/>
          <w:lang w:eastAsia="ru-RU"/>
        </w:rPr>
        <w:t xml:space="preserve"> (ИНН:162301752810) в связи с односторонним отказом заказчика от исполнения контракта на работы по разработке полного цикла образовательной видеоигры «Построй Гай» (извещения № 0353300216326000001).</w:t>
      </w:r>
    </w:p>
    <w:p w14:paraId="2986D5CC"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p>
    <w:p w14:paraId="34C4B69F" w14:textId="77777777" w:rsidR="004A7088" w:rsidRPr="004A7088" w:rsidRDefault="004A7088" w:rsidP="004A7088">
      <w:pPr>
        <w:spacing w:after="0" w:line="240" w:lineRule="auto"/>
        <w:ind w:firstLine="709"/>
        <w:jc w:val="both"/>
        <w:rPr>
          <w:rFonts w:ascii="Times New Roman" w:eastAsia="Times New Roman" w:hAnsi="Times New Roman" w:cs="Times New Roman"/>
          <w:sz w:val="24"/>
          <w:szCs w:val="24"/>
          <w:lang w:eastAsia="ru-RU"/>
        </w:rPr>
      </w:pPr>
      <w:r w:rsidRPr="004A7088">
        <w:rPr>
          <w:rFonts w:ascii="Times New Roman" w:eastAsia="Times New Roman" w:hAnsi="Times New Roman" w:cs="Times New Roman"/>
          <w:sz w:val="26"/>
          <w:szCs w:val="26"/>
          <w:lang w:eastAsia="ru-RU"/>
        </w:rPr>
        <w:t>Решение может быть обжаловано в судебном порядке в течение 3-х месяцев со дня его принятия.</w:t>
      </w:r>
    </w:p>
    <w:p w14:paraId="799EBE7C" w14:textId="77777777" w:rsidR="004A7088" w:rsidRPr="004A7088" w:rsidRDefault="004A7088" w:rsidP="004A7088">
      <w:pPr>
        <w:spacing w:before="100" w:beforeAutospacing="1" w:after="0" w:line="240" w:lineRule="auto"/>
        <w:ind w:firstLine="709"/>
        <w:rPr>
          <w:rFonts w:ascii="Times New Roman" w:eastAsia="Times New Roman" w:hAnsi="Times New Roman" w:cs="Times New Roman"/>
          <w:sz w:val="24"/>
          <w:szCs w:val="24"/>
          <w:lang w:eastAsia="ru-RU"/>
        </w:rPr>
      </w:pPr>
    </w:p>
    <w:p w14:paraId="49E7CD1C" w14:textId="72751D1F" w:rsidR="00F31720" w:rsidRPr="005F7D30" w:rsidRDefault="00F31720" w:rsidP="004A7088">
      <w:pPr>
        <w:widowControl w:val="0"/>
        <w:spacing w:after="0" w:line="240" w:lineRule="auto"/>
        <w:ind w:firstLine="709"/>
        <w:jc w:val="center"/>
        <w:rPr>
          <w:rFonts w:ascii="Times New Roman" w:eastAsia="Times New Roman" w:hAnsi="Times New Roman" w:cs="Times New Roman"/>
          <w:sz w:val="24"/>
          <w:szCs w:val="24"/>
          <w:lang w:eastAsia="ru-RU"/>
        </w:rPr>
      </w:pPr>
    </w:p>
    <w:sectPr w:rsidR="00F31720" w:rsidRPr="005F7D30" w:rsidSect="00B96691">
      <w:headerReference w:type="default" r:id="rId18"/>
      <w:headerReference w:type="first" r:id="rId19"/>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92036" w14:textId="77777777" w:rsidR="0039134D" w:rsidRDefault="0039134D" w:rsidP="001F0C78">
      <w:pPr>
        <w:spacing w:after="0" w:line="240" w:lineRule="auto"/>
      </w:pPr>
      <w:r>
        <w:separator/>
      </w:r>
    </w:p>
  </w:endnote>
  <w:endnote w:type="continuationSeparator" w:id="0">
    <w:p w14:paraId="2C1CAAFC" w14:textId="77777777" w:rsidR="0039134D" w:rsidRDefault="0039134D" w:rsidP="001F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ont183">
    <w:altName w:val="Times New Roman"/>
    <w:charset w:val="CC"/>
    <w:family w:val="auto"/>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BA97C" w14:textId="77777777" w:rsidR="0039134D" w:rsidRDefault="0039134D" w:rsidP="001F0C78">
      <w:pPr>
        <w:spacing w:after="0" w:line="240" w:lineRule="auto"/>
      </w:pPr>
      <w:r>
        <w:separator/>
      </w:r>
    </w:p>
  </w:footnote>
  <w:footnote w:type="continuationSeparator" w:id="0">
    <w:p w14:paraId="2ED608EC" w14:textId="77777777" w:rsidR="0039134D" w:rsidRDefault="0039134D" w:rsidP="001F0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571091"/>
      <w:docPartObj>
        <w:docPartGallery w:val="Page Numbers (Top of Page)"/>
        <w:docPartUnique/>
      </w:docPartObj>
    </w:sdtPr>
    <w:sdtEndPr/>
    <w:sdtContent>
      <w:p w14:paraId="257D3C4D" w14:textId="3B7F51BD" w:rsidR="0048279F" w:rsidRDefault="0048279F">
        <w:pPr>
          <w:pStyle w:val="a6"/>
          <w:jc w:val="center"/>
        </w:pPr>
        <w:r>
          <w:fldChar w:fldCharType="begin"/>
        </w:r>
        <w:r>
          <w:instrText>PAGE   \* MERGEFORMAT</w:instrText>
        </w:r>
        <w:r>
          <w:fldChar w:fldCharType="separate"/>
        </w:r>
        <w:r w:rsidR="00590501">
          <w:rPr>
            <w:noProof/>
          </w:rPr>
          <w:t>8</w:t>
        </w:r>
        <w:r>
          <w:fldChar w:fldCharType="end"/>
        </w:r>
      </w:p>
    </w:sdtContent>
  </w:sdt>
  <w:p w14:paraId="1573269B" w14:textId="77777777" w:rsidR="0048279F" w:rsidRDefault="0048279F">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195493"/>
      <w:docPartObj>
        <w:docPartGallery w:val="Page Numbers (Top of Page)"/>
        <w:docPartUnique/>
      </w:docPartObj>
    </w:sdtPr>
    <w:sdtEndPr/>
    <w:sdtContent>
      <w:p w14:paraId="3A097D44" w14:textId="029AD59C" w:rsidR="0048279F" w:rsidRDefault="0039134D">
        <w:pPr>
          <w:pStyle w:val="a6"/>
          <w:jc w:val="center"/>
        </w:pPr>
      </w:p>
    </w:sdtContent>
  </w:sdt>
  <w:p w14:paraId="1F108554" w14:textId="77777777" w:rsidR="0048279F" w:rsidRDefault="0048279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D36"/>
    <w:rsid w:val="000031AC"/>
    <w:rsid w:val="0001080D"/>
    <w:rsid w:val="00034E72"/>
    <w:rsid w:val="00042DE7"/>
    <w:rsid w:val="00046335"/>
    <w:rsid w:val="000518A2"/>
    <w:rsid w:val="000744EA"/>
    <w:rsid w:val="00081C31"/>
    <w:rsid w:val="00082980"/>
    <w:rsid w:val="00085D80"/>
    <w:rsid w:val="00091CC9"/>
    <w:rsid w:val="0009388C"/>
    <w:rsid w:val="00096D47"/>
    <w:rsid w:val="000A18D3"/>
    <w:rsid w:val="000B0D06"/>
    <w:rsid w:val="000C2764"/>
    <w:rsid w:val="000C4861"/>
    <w:rsid w:val="000D48DB"/>
    <w:rsid w:val="000D7AB7"/>
    <w:rsid w:val="000E3690"/>
    <w:rsid w:val="000E4DC2"/>
    <w:rsid w:val="00107C36"/>
    <w:rsid w:val="001249E1"/>
    <w:rsid w:val="00144686"/>
    <w:rsid w:val="001541EE"/>
    <w:rsid w:val="001811D3"/>
    <w:rsid w:val="0018486B"/>
    <w:rsid w:val="0019231E"/>
    <w:rsid w:val="001930D0"/>
    <w:rsid w:val="00194DF9"/>
    <w:rsid w:val="0019705E"/>
    <w:rsid w:val="001A1CE6"/>
    <w:rsid w:val="001A73F6"/>
    <w:rsid w:val="001B0EAC"/>
    <w:rsid w:val="001B4B95"/>
    <w:rsid w:val="001C3A5E"/>
    <w:rsid w:val="001C4BC4"/>
    <w:rsid w:val="001F0C78"/>
    <w:rsid w:val="00211B83"/>
    <w:rsid w:val="00214283"/>
    <w:rsid w:val="00215117"/>
    <w:rsid w:val="00215FC6"/>
    <w:rsid w:val="002261CD"/>
    <w:rsid w:val="00246CB9"/>
    <w:rsid w:val="0025218E"/>
    <w:rsid w:val="00252A3B"/>
    <w:rsid w:val="00257E4E"/>
    <w:rsid w:val="00283C99"/>
    <w:rsid w:val="00285F06"/>
    <w:rsid w:val="0029204A"/>
    <w:rsid w:val="002966A2"/>
    <w:rsid w:val="002A3387"/>
    <w:rsid w:val="002A4367"/>
    <w:rsid w:val="002A5655"/>
    <w:rsid w:val="002B4ADF"/>
    <w:rsid w:val="002C79C8"/>
    <w:rsid w:val="002D3D7C"/>
    <w:rsid w:val="002E7790"/>
    <w:rsid w:val="002F5551"/>
    <w:rsid w:val="00300096"/>
    <w:rsid w:val="003006C7"/>
    <w:rsid w:val="003035F6"/>
    <w:rsid w:val="003145AC"/>
    <w:rsid w:val="003150A4"/>
    <w:rsid w:val="003300B9"/>
    <w:rsid w:val="003374E2"/>
    <w:rsid w:val="00342E5A"/>
    <w:rsid w:val="003474BC"/>
    <w:rsid w:val="00366812"/>
    <w:rsid w:val="00373BD8"/>
    <w:rsid w:val="00385043"/>
    <w:rsid w:val="0039134D"/>
    <w:rsid w:val="003916D3"/>
    <w:rsid w:val="003945BB"/>
    <w:rsid w:val="0039726B"/>
    <w:rsid w:val="003C04F1"/>
    <w:rsid w:val="003C591C"/>
    <w:rsid w:val="003C5F1C"/>
    <w:rsid w:val="003D3A84"/>
    <w:rsid w:val="003F1623"/>
    <w:rsid w:val="003F2EE9"/>
    <w:rsid w:val="003F35A1"/>
    <w:rsid w:val="003F6E3D"/>
    <w:rsid w:val="00414DDA"/>
    <w:rsid w:val="00426063"/>
    <w:rsid w:val="0042736B"/>
    <w:rsid w:val="004407AD"/>
    <w:rsid w:val="00441594"/>
    <w:rsid w:val="0047391F"/>
    <w:rsid w:val="0047457D"/>
    <w:rsid w:val="00477780"/>
    <w:rsid w:val="0048279F"/>
    <w:rsid w:val="0049186C"/>
    <w:rsid w:val="004A15C2"/>
    <w:rsid w:val="004A1AA5"/>
    <w:rsid w:val="004A2EA8"/>
    <w:rsid w:val="004A7088"/>
    <w:rsid w:val="004B398E"/>
    <w:rsid w:val="004C72E8"/>
    <w:rsid w:val="004D1A85"/>
    <w:rsid w:val="004E68A9"/>
    <w:rsid w:val="004F3109"/>
    <w:rsid w:val="00506D62"/>
    <w:rsid w:val="0051178E"/>
    <w:rsid w:val="005156E5"/>
    <w:rsid w:val="005157B3"/>
    <w:rsid w:val="0052025E"/>
    <w:rsid w:val="0054182D"/>
    <w:rsid w:val="00552D3A"/>
    <w:rsid w:val="00553FF0"/>
    <w:rsid w:val="00562972"/>
    <w:rsid w:val="00565780"/>
    <w:rsid w:val="005730A8"/>
    <w:rsid w:val="0057396A"/>
    <w:rsid w:val="00575A4A"/>
    <w:rsid w:val="005806A2"/>
    <w:rsid w:val="005813CD"/>
    <w:rsid w:val="00590501"/>
    <w:rsid w:val="005A075D"/>
    <w:rsid w:val="005B05AB"/>
    <w:rsid w:val="005C5C55"/>
    <w:rsid w:val="005C6246"/>
    <w:rsid w:val="005D4017"/>
    <w:rsid w:val="005E289B"/>
    <w:rsid w:val="005E2ECA"/>
    <w:rsid w:val="005F2852"/>
    <w:rsid w:val="005F6442"/>
    <w:rsid w:val="005F7D30"/>
    <w:rsid w:val="00606723"/>
    <w:rsid w:val="00611180"/>
    <w:rsid w:val="00620B85"/>
    <w:rsid w:val="00627CAD"/>
    <w:rsid w:val="00631053"/>
    <w:rsid w:val="006336E9"/>
    <w:rsid w:val="00635AD7"/>
    <w:rsid w:val="006365D0"/>
    <w:rsid w:val="0063716D"/>
    <w:rsid w:val="00641ACD"/>
    <w:rsid w:val="00643C27"/>
    <w:rsid w:val="00643D61"/>
    <w:rsid w:val="00655207"/>
    <w:rsid w:val="00660F50"/>
    <w:rsid w:val="00677713"/>
    <w:rsid w:val="00685EAA"/>
    <w:rsid w:val="0069047B"/>
    <w:rsid w:val="0069392E"/>
    <w:rsid w:val="00694DF3"/>
    <w:rsid w:val="006A0015"/>
    <w:rsid w:val="006A6950"/>
    <w:rsid w:val="006B2566"/>
    <w:rsid w:val="006C4D9E"/>
    <w:rsid w:val="006D54A2"/>
    <w:rsid w:val="006D5B26"/>
    <w:rsid w:val="006D5B31"/>
    <w:rsid w:val="006F2955"/>
    <w:rsid w:val="0070535C"/>
    <w:rsid w:val="00713938"/>
    <w:rsid w:val="00713CFF"/>
    <w:rsid w:val="0071628E"/>
    <w:rsid w:val="00716E44"/>
    <w:rsid w:val="00721FC6"/>
    <w:rsid w:val="00735D4C"/>
    <w:rsid w:val="007405F9"/>
    <w:rsid w:val="007439C7"/>
    <w:rsid w:val="00754D52"/>
    <w:rsid w:val="00777949"/>
    <w:rsid w:val="00785D61"/>
    <w:rsid w:val="007A2916"/>
    <w:rsid w:val="007A4141"/>
    <w:rsid w:val="007C01DE"/>
    <w:rsid w:val="007C06A4"/>
    <w:rsid w:val="007C2A21"/>
    <w:rsid w:val="007C4643"/>
    <w:rsid w:val="007D3B3F"/>
    <w:rsid w:val="007E2ED6"/>
    <w:rsid w:val="00800325"/>
    <w:rsid w:val="00802801"/>
    <w:rsid w:val="00813331"/>
    <w:rsid w:val="008160AD"/>
    <w:rsid w:val="00824E09"/>
    <w:rsid w:val="008254EF"/>
    <w:rsid w:val="00837C66"/>
    <w:rsid w:val="00847344"/>
    <w:rsid w:val="00865E96"/>
    <w:rsid w:val="00893EDF"/>
    <w:rsid w:val="008A1BA5"/>
    <w:rsid w:val="008A56C0"/>
    <w:rsid w:val="008B050D"/>
    <w:rsid w:val="008B640C"/>
    <w:rsid w:val="008C6CFB"/>
    <w:rsid w:val="008E7EBE"/>
    <w:rsid w:val="008F371F"/>
    <w:rsid w:val="00901C2E"/>
    <w:rsid w:val="0090763F"/>
    <w:rsid w:val="0090799A"/>
    <w:rsid w:val="0091081D"/>
    <w:rsid w:val="00914958"/>
    <w:rsid w:val="00922F91"/>
    <w:rsid w:val="00927ED2"/>
    <w:rsid w:val="009349A9"/>
    <w:rsid w:val="00951AEC"/>
    <w:rsid w:val="009666E6"/>
    <w:rsid w:val="00966768"/>
    <w:rsid w:val="00973892"/>
    <w:rsid w:val="00973993"/>
    <w:rsid w:val="00983511"/>
    <w:rsid w:val="00987ED6"/>
    <w:rsid w:val="00994703"/>
    <w:rsid w:val="009A4508"/>
    <w:rsid w:val="009B2848"/>
    <w:rsid w:val="009B4A4A"/>
    <w:rsid w:val="009B4EA8"/>
    <w:rsid w:val="009C4940"/>
    <w:rsid w:val="009C4E89"/>
    <w:rsid w:val="009D4A0D"/>
    <w:rsid w:val="009E589B"/>
    <w:rsid w:val="009E6894"/>
    <w:rsid w:val="009E6AC9"/>
    <w:rsid w:val="009F54FA"/>
    <w:rsid w:val="009F571C"/>
    <w:rsid w:val="00A01101"/>
    <w:rsid w:val="00A0151F"/>
    <w:rsid w:val="00A01604"/>
    <w:rsid w:val="00A06832"/>
    <w:rsid w:val="00A0773F"/>
    <w:rsid w:val="00A2498D"/>
    <w:rsid w:val="00A25CC0"/>
    <w:rsid w:val="00A40BBC"/>
    <w:rsid w:val="00A424D6"/>
    <w:rsid w:val="00A428BC"/>
    <w:rsid w:val="00A574EF"/>
    <w:rsid w:val="00A62451"/>
    <w:rsid w:val="00A62D65"/>
    <w:rsid w:val="00A65CF7"/>
    <w:rsid w:val="00A9074F"/>
    <w:rsid w:val="00A93DDF"/>
    <w:rsid w:val="00A9542C"/>
    <w:rsid w:val="00AA3C07"/>
    <w:rsid w:val="00AB0652"/>
    <w:rsid w:val="00AB368B"/>
    <w:rsid w:val="00AB7AFF"/>
    <w:rsid w:val="00AC72D1"/>
    <w:rsid w:val="00AD17B8"/>
    <w:rsid w:val="00AD1988"/>
    <w:rsid w:val="00AD38A0"/>
    <w:rsid w:val="00AE1A5C"/>
    <w:rsid w:val="00AF00B2"/>
    <w:rsid w:val="00B10BB5"/>
    <w:rsid w:val="00B11BB6"/>
    <w:rsid w:val="00B12B90"/>
    <w:rsid w:val="00B173AC"/>
    <w:rsid w:val="00B234AA"/>
    <w:rsid w:val="00B3003F"/>
    <w:rsid w:val="00B3575F"/>
    <w:rsid w:val="00B3664F"/>
    <w:rsid w:val="00B644C0"/>
    <w:rsid w:val="00B735BF"/>
    <w:rsid w:val="00B7619F"/>
    <w:rsid w:val="00B96691"/>
    <w:rsid w:val="00B978A0"/>
    <w:rsid w:val="00BA0F8E"/>
    <w:rsid w:val="00BB253F"/>
    <w:rsid w:val="00BC64EE"/>
    <w:rsid w:val="00BE26A8"/>
    <w:rsid w:val="00BF20C4"/>
    <w:rsid w:val="00C164BB"/>
    <w:rsid w:val="00C16FD0"/>
    <w:rsid w:val="00C23BFD"/>
    <w:rsid w:val="00C331A4"/>
    <w:rsid w:val="00C47321"/>
    <w:rsid w:val="00C51F31"/>
    <w:rsid w:val="00C53BD6"/>
    <w:rsid w:val="00C6264B"/>
    <w:rsid w:val="00C6429D"/>
    <w:rsid w:val="00C64B06"/>
    <w:rsid w:val="00C72D2D"/>
    <w:rsid w:val="00C77F6B"/>
    <w:rsid w:val="00C80C1C"/>
    <w:rsid w:val="00C83BC1"/>
    <w:rsid w:val="00C846DA"/>
    <w:rsid w:val="00C91D77"/>
    <w:rsid w:val="00C970A1"/>
    <w:rsid w:val="00CA02DB"/>
    <w:rsid w:val="00CB5488"/>
    <w:rsid w:val="00CB5C65"/>
    <w:rsid w:val="00CB6C70"/>
    <w:rsid w:val="00CC1499"/>
    <w:rsid w:val="00CC2611"/>
    <w:rsid w:val="00CD05BD"/>
    <w:rsid w:val="00CD0A74"/>
    <w:rsid w:val="00CD53C6"/>
    <w:rsid w:val="00CD5961"/>
    <w:rsid w:val="00CD64ED"/>
    <w:rsid w:val="00CE0CB4"/>
    <w:rsid w:val="00CE10D5"/>
    <w:rsid w:val="00CE34FD"/>
    <w:rsid w:val="00CE73D3"/>
    <w:rsid w:val="00CF030A"/>
    <w:rsid w:val="00CF6DC0"/>
    <w:rsid w:val="00D250FC"/>
    <w:rsid w:val="00D31CEA"/>
    <w:rsid w:val="00D4141D"/>
    <w:rsid w:val="00D42C53"/>
    <w:rsid w:val="00D444BB"/>
    <w:rsid w:val="00D60D36"/>
    <w:rsid w:val="00D719D5"/>
    <w:rsid w:val="00D750E9"/>
    <w:rsid w:val="00D756E2"/>
    <w:rsid w:val="00D8674A"/>
    <w:rsid w:val="00D86E54"/>
    <w:rsid w:val="00D92F62"/>
    <w:rsid w:val="00D93B7B"/>
    <w:rsid w:val="00D95B3B"/>
    <w:rsid w:val="00D97E5C"/>
    <w:rsid w:val="00DA3E39"/>
    <w:rsid w:val="00DC4A1C"/>
    <w:rsid w:val="00DC6366"/>
    <w:rsid w:val="00DE52E6"/>
    <w:rsid w:val="00DE761D"/>
    <w:rsid w:val="00DF38BB"/>
    <w:rsid w:val="00E03900"/>
    <w:rsid w:val="00E056D8"/>
    <w:rsid w:val="00E12C80"/>
    <w:rsid w:val="00E200B9"/>
    <w:rsid w:val="00E243F0"/>
    <w:rsid w:val="00E353D5"/>
    <w:rsid w:val="00E37E69"/>
    <w:rsid w:val="00E43FB8"/>
    <w:rsid w:val="00E474C6"/>
    <w:rsid w:val="00E5152D"/>
    <w:rsid w:val="00E524EE"/>
    <w:rsid w:val="00E54793"/>
    <w:rsid w:val="00E5609E"/>
    <w:rsid w:val="00E61E6A"/>
    <w:rsid w:val="00E7406C"/>
    <w:rsid w:val="00E80DBB"/>
    <w:rsid w:val="00E91F96"/>
    <w:rsid w:val="00E97C2C"/>
    <w:rsid w:val="00EB0321"/>
    <w:rsid w:val="00ED0AD5"/>
    <w:rsid w:val="00ED4483"/>
    <w:rsid w:val="00ED605D"/>
    <w:rsid w:val="00EE0D61"/>
    <w:rsid w:val="00EE3CF8"/>
    <w:rsid w:val="00EE5CEC"/>
    <w:rsid w:val="00EE665B"/>
    <w:rsid w:val="00EF506C"/>
    <w:rsid w:val="00F000A2"/>
    <w:rsid w:val="00F03447"/>
    <w:rsid w:val="00F039FB"/>
    <w:rsid w:val="00F20CD5"/>
    <w:rsid w:val="00F31720"/>
    <w:rsid w:val="00F4454D"/>
    <w:rsid w:val="00F62479"/>
    <w:rsid w:val="00F645E8"/>
    <w:rsid w:val="00F66036"/>
    <w:rsid w:val="00F761DB"/>
    <w:rsid w:val="00F86D75"/>
    <w:rsid w:val="00F86F62"/>
    <w:rsid w:val="00F915EF"/>
    <w:rsid w:val="00FA5A39"/>
    <w:rsid w:val="00FA5CCB"/>
    <w:rsid w:val="00FB74B1"/>
    <w:rsid w:val="00FC0F28"/>
    <w:rsid w:val="00FC35F1"/>
    <w:rsid w:val="00FC3F19"/>
    <w:rsid w:val="00FD1FB2"/>
    <w:rsid w:val="00FD6310"/>
    <w:rsid w:val="00FE5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234E"/>
  <w15:chartTrackingRefBased/>
  <w15:docId w15:val="{54DB388E-D29B-43FD-82FF-ACAE680E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075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A075D"/>
    <w:rPr>
      <w:rFonts w:ascii="Segoe UI" w:hAnsi="Segoe UI" w:cs="Segoe UI"/>
      <w:sz w:val="18"/>
      <w:szCs w:val="18"/>
    </w:rPr>
  </w:style>
  <w:style w:type="character" w:styleId="a5">
    <w:name w:val="Hyperlink"/>
    <w:basedOn w:val="a0"/>
    <w:uiPriority w:val="99"/>
    <w:unhideWhenUsed/>
    <w:rsid w:val="00E97C2C"/>
    <w:rPr>
      <w:color w:val="0563C1" w:themeColor="hyperlink"/>
      <w:u w:val="single"/>
    </w:rPr>
  </w:style>
  <w:style w:type="character" w:customStyle="1" w:styleId="UnresolvedMention">
    <w:name w:val="Unresolved Mention"/>
    <w:basedOn w:val="a0"/>
    <w:uiPriority w:val="99"/>
    <w:semiHidden/>
    <w:unhideWhenUsed/>
    <w:rsid w:val="00E97C2C"/>
    <w:rPr>
      <w:color w:val="605E5C"/>
      <w:shd w:val="clear" w:color="auto" w:fill="E1DFDD"/>
    </w:rPr>
  </w:style>
  <w:style w:type="paragraph" w:styleId="a6">
    <w:name w:val="header"/>
    <w:basedOn w:val="a"/>
    <w:link w:val="a7"/>
    <w:uiPriority w:val="99"/>
    <w:unhideWhenUsed/>
    <w:rsid w:val="001F0C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F0C78"/>
  </w:style>
  <w:style w:type="paragraph" w:styleId="a8">
    <w:name w:val="footer"/>
    <w:basedOn w:val="a"/>
    <w:link w:val="a9"/>
    <w:uiPriority w:val="99"/>
    <w:unhideWhenUsed/>
    <w:rsid w:val="001F0C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F0C78"/>
  </w:style>
  <w:style w:type="character" w:customStyle="1" w:styleId="sectioninfo">
    <w:name w:val="section__info"/>
    <w:basedOn w:val="a0"/>
    <w:rsid w:val="00107C36"/>
  </w:style>
  <w:style w:type="paragraph" w:styleId="aa">
    <w:name w:val="Body Text"/>
    <w:basedOn w:val="a"/>
    <w:link w:val="ab"/>
    <w:rsid w:val="00F915EF"/>
    <w:pPr>
      <w:spacing w:after="0" w:line="240" w:lineRule="auto"/>
      <w:jc w:val="center"/>
    </w:pPr>
    <w:rPr>
      <w:rFonts w:ascii="Times New Roman" w:eastAsia="Times New Roman" w:hAnsi="Times New Roman" w:cs="Times New Roman"/>
      <w:b/>
      <w:szCs w:val="20"/>
      <w:lang w:eastAsia="ru-RU"/>
    </w:rPr>
  </w:style>
  <w:style w:type="character" w:customStyle="1" w:styleId="ab">
    <w:name w:val="Основной текст Знак"/>
    <w:basedOn w:val="a0"/>
    <w:link w:val="aa"/>
    <w:rsid w:val="00F915EF"/>
    <w:rPr>
      <w:rFonts w:ascii="Times New Roman" w:eastAsia="Times New Roman" w:hAnsi="Times New Roman" w:cs="Times New Roman"/>
      <w:b/>
      <w:szCs w:val="20"/>
      <w:lang w:eastAsia="ru-RU"/>
    </w:rPr>
  </w:style>
  <w:style w:type="paragraph" w:customStyle="1" w:styleId="ConsPlusNormal">
    <w:name w:val="ConsPlusNormal"/>
    <w:link w:val="ConsPlusNormal0"/>
    <w:qFormat/>
    <w:rsid w:val="00F915E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915EF"/>
    <w:rPr>
      <w:rFonts w:ascii="Calibri" w:eastAsia="Times New Roman" w:hAnsi="Calibri" w:cs="Calibri"/>
      <w:szCs w:val="20"/>
      <w:lang w:eastAsia="ru-RU"/>
    </w:rPr>
  </w:style>
  <w:style w:type="character" w:customStyle="1" w:styleId="timezonename">
    <w:name w:val="timezonename"/>
    <w:basedOn w:val="a0"/>
    <w:rsid w:val="00342E5A"/>
  </w:style>
  <w:style w:type="paragraph" w:styleId="ac">
    <w:name w:val="List Paragraph"/>
    <w:basedOn w:val="a"/>
    <w:uiPriority w:val="34"/>
    <w:qFormat/>
    <w:rsid w:val="00643D61"/>
    <w:pPr>
      <w:spacing w:after="0" w:line="240" w:lineRule="auto"/>
      <w:ind w:left="720"/>
      <w:contextualSpacing/>
    </w:pPr>
    <w:rPr>
      <w:rFonts w:ascii="Times New Roman" w:eastAsia="Times New Roman" w:hAnsi="Times New Roman" w:cs="Times New Roman"/>
      <w:sz w:val="20"/>
      <w:szCs w:val="20"/>
      <w:lang w:eastAsia="ru-RU"/>
    </w:rPr>
  </w:style>
  <w:style w:type="paragraph" w:styleId="ad">
    <w:name w:val="Normal (Web)"/>
    <w:basedOn w:val="a"/>
    <w:uiPriority w:val="99"/>
    <w:unhideWhenUsed/>
    <w:rsid w:val="00CC149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4">
    <w:name w:val="Без интервала4"/>
    <w:qFormat/>
    <w:rsid w:val="00441594"/>
    <w:pPr>
      <w:suppressAutoHyphens/>
      <w:spacing w:after="0" w:line="100" w:lineRule="atLeast"/>
    </w:pPr>
    <w:rPr>
      <w:rFonts w:ascii="Calibri" w:eastAsia="Calibri" w:hAnsi="Calibri" w:cs="font183"/>
      <w:kern w:val="2"/>
      <w:lang w:eastAsia="ar-SA"/>
    </w:rPr>
  </w:style>
  <w:style w:type="paragraph" w:customStyle="1" w:styleId="text-justify">
    <w:name w:val="text-justify"/>
    <w:basedOn w:val="a"/>
    <w:rsid w:val="0048279F"/>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077896">
      <w:bodyDiv w:val="1"/>
      <w:marLeft w:val="0"/>
      <w:marRight w:val="0"/>
      <w:marTop w:val="0"/>
      <w:marBottom w:val="0"/>
      <w:divBdr>
        <w:top w:val="none" w:sz="0" w:space="0" w:color="auto"/>
        <w:left w:val="none" w:sz="0" w:space="0" w:color="auto"/>
        <w:bottom w:val="none" w:sz="0" w:space="0" w:color="auto"/>
        <w:right w:val="none" w:sz="0" w:space="0" w:color="auto"/>
      </w:divBdr>
    </w:div>
    <w:div w:id="328749324">
      <w:bodyDiv w:val="1"/>
      <w:marLeft w:val="0"/>
      <w:marRight w:val="0"/>
      <w:marTop w:val="0"/>
      <w:marBottom w:val="0"/>
      <w:divBdr>
        <w:top w:val="none" w:sz="0" w:space="0" w:color="auto"/>
        <w:left w:val="none" w:sz="0" w:space="0" w:color="auto"/>
        <w:bottom w:val="none" w:sz="0" w:space="0" w:color="auto"/>
        <w:right w:val="none" w:sz="0" w:space="0" w:color="auto"/>
      </w:divBdr>
    </w:div>
    <w:div w:id="344595271">
      <w:bodyDiv w:val="1"/>
      <w:marLeft w:val="0"/>
      <w:marRight w:val="0"/>
      <w:marTop w:val="0"/>
      <w:marBottom w:val="0"/>
      <w:divBdr>
        <w:top w:val="none" w:sz="0" w:space="0" w:color="auto"/>
        <w:left w:val="none" w:sz="0" w:space="0" w:color="auto"/>
        <w:bottom w:val="none" w:sz="0" w:space="0" w:color="auto"/>
        <w:right w:val="none" w:sz="0" w:space="0" w:color="auto"/>
      </w:divBdr>
    </w:div>
    <w:div w:id="967007422">
      <w:bodyDiv w:val="1"/>
      <w:marLeft w:val="0"/>
      <w:marRight w:val="0"/>
      <w:marTop w:val="0"/>
      <w:marBottom w:val="0"/>
      <w:divBdr>
        <w:top w:val="none" w:sz="0" w:space="0" w:color="auto"/>
        <w:left w:val="none" w:sz="0" w:space="0" w:color="auto"/>
        <w:bottom w:val="none" w:sz="0" w:space="0" w:color="auto"/>
        <w:right w:val="none" w:sz="0" w:space="0" w:color="auto"/>
      </w:divBdr>
    </w:div>
    <w:div w:id="1317997177">
      <w:bodyDiv w:val="1"/>
      <w:marLeft w:val="0"/>
      <w:marRight w:val="0"/>
      <w:marTop w:val="0"/>
      <w:marBottom w:val="0"/>
      <w:divBdr>
        <w:top w:val="none" w:sz="0" w:space="0" w:color="auto"/>
        <w:left w:val="none" w:sz="0" w:space="0" w:color="auto"/>
        <w:bottom w:val="none" w:sz="0" w:space="0" w:color="auto"/>
        <w:right w:val="none" w:sz="0" w:space="0" w:color="auto"/>
      </w:divBdr>
    </w:div>
    <w:div w:id="1457017464">
      <w:bodyDiv w:val="1"/>
      <w:marLeft w:val="0"/>
      <w:marRight w:val="0"/>
      <w:marTop w:val="0"/>
      <w:marBottom w:val="0"/>
      <w:divBdr>
        <w:top w:val="none" w:sz="0" w:space="0" w:color="auto"/>
        <w:left w:val="none" w:sz="0" w:space="0" w:color="auto"/>
        <w:bottom w:val="none" w:sz="0" w:space="0" w:color="auto"/>
        <w:right w:val="none" w:sz="0" w:space="0" w:color="auto"/>
      </w:divBdr>
    </w:div>
    <w:div w:id="1600259872">
      <w:bodyDiv w:val="1"/>
      <w:marLeft w:val="0"/>
      <w:marRight w:val="0"/>
      <w:marTop w:val="0"/>
      <w:marBottom w:val="0"/>
      <w:divBdr>
        <w:top w:val="none" w:sz="0" w:space="0" w:color="auto"/>
        <w:left w:val="none" w:sz="0" w:space="0" w:color="auto"/>
        <w:bottom w:val="none" w:sz="0" w:space="0" w:color="auto"/>
        <w:right w:val="none" w:sz="0" w:space="0" w:color="auto"/>
      </w:divBdr>
    </w:div>
    <w:div w:id="1809350314">
      <w:bodyDiv w:val="1"/>
      <w:marLeft w:val="0"/>
      <w:marRight w:val="0"/>
      <w:marTop w:val="0"/>
      <w:marBottom w:val="0"/>
      <w:divBdr>
        <w:top w:val="none" w:sz="0" w:space="0" w:color="auto"/>
        <w:left w:val="none" w:sz="0" w:space="0" w:color="auto"/>
        <w:bottom w:val="none" w:sz="0" w:space="0" w:color="auto"/>
        <w:right w:val="none" w:sz="0" w:space="0" w:color="auto"/>
      </w:divBdr>
    </w:div>
    <w:div w:id="199074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wnloads/%7B%D0%9A%D0%BE%D0%BD%D1%81%D1%83%D0%BB%D1%8C%D1%82%D0%B0%D0%BD%D1%82%D0%9F%D0%BB%D1%8E%D1%81%7D" TargetMode="External"/><Relationship Id="rId13" Type="http://schemas.openxmlformats.org/officeDocument/2006/relationships/hyperlink" Target="https://login.consultant.ru/link/?req=doc&amp;base=LAW&amp;n=430957&amp;dst=10010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Downloads/%D0%9C%D0%BA%D1%80%D1%82%D1%8B" TargetMode="External"/><Relationship Id="rId17" Type="http://schemas.openxmlformats.org/officeDocument/2006/relationships/hyperlink" Target="https://login.consultant.ru/link/?req=doc&amp;base=LAW&amp;n=430957&amp;dst=21" TargetMode="External"/><Relationship Id="rId2" Type="http://schemas.openxmlformats.org/officeDocument/2006/relationships/styles" Target="styles.xml"/><Relationship Id="rId16" Type="http://schemas.openxmlformats.org/officeDocument/2006/relationships/hyperlink" Target="https://login.consultant.ru/link/?req=doc&amp;base=LAW&amp;n=430957&amp;dst=1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Downloads/%D0%90%D1%80%D0%B1%D0%B8%D1%82%D1%80%D0%B0%D0%B6" TargetMode="External"/><Relationship Id="rId5" Type="http://schemas.openxmlformats.org/officeDocument/2006/relationships/footnotes" Target="footnotes.xml"/><Relationship Id="rId15" Type="http://schemas.openxmlformats.org/officeDocument/2006/relationships/hyperlink" Target="https://login.consultant.ru/link/?req=doc&amp;base=LAW&amp;n=430957&amp;dst=100405" TargetMode="External"/><Relationship Id="rId10" Type="http://schemas.openxmlformats.org/officeDocument/2006/relationships/hyperlink" Target="../../../../Downloads/%7B%D0%9A%D0%BE%D0%BD%D1%81%D1%83%D0%BB%D1%8C%D1%82%D0%B0%D0%BD%D1%82%D0%9F%D0%BB%D1%8E%D1%81%7D"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Downloads/%7B%D0%9A%D0%BE%D0%BD%D1%81%D1%83%D0%BB%D1%8C%D1%82%D0%B0%D0%BD%D1%82%D0%9F%D0%BB%D1%8E%D1%81%7D" TargetMode="External"/><Relationship Id="rId14" Type="http://schemas.openxmlformats.org/officeDocument/2006/relationships/hyperlink" Target="https://login.consultant.ru/link/?req=doc&amp;base=LAW&amp;n=430957&amp;dst=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3D57C-7E2B-42E4-85D1-E3A3E2D3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8</Pages>
  <Words>3377</Words>
  <Characters>19252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Талалова</dc:creator>
  <cp:keywords/>
  <dc:description/>
  <cp:lastModifiedBy>Терешина Татьяна Юрьена</cp:lastModifiedBy>
  <cp:revision>18</cp:revision>
  <cp:lastPrinted>2022-11-08T06:30:00Z</cp:lastPrinted>
  <dcterms:created xsi:type="dcterms:W3CDTF">2024-07-16T05:58:00Z</dcterms:created>
  <dcterms:modified xsi:type="dcterms:W3CDTF">2026-05-08T11:06:00Z</dcterms:modified>
</cp:coreProperties>
</file>