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spacing w:lineRule="auto" w:line="240"/>
        <w:jc w:val="center"/>
        <w:rPr>
          <w:rFonts w:ascii="Times New Roman" w:hAnsi="Times New Roman"/>
          <w:sz w:val="26"/>
          <w:szCs w:val="26"/>
        </w:rPr>
      </w:pPr>
      <w:r>
        <w:rPr>
          <w:rFonts w:ascii="Times New Roman" w:hAnsi="Times New Roman"/>
          <w:sz w:val="26"/>
          <w:szCs w:val="26"/>
        </w:rPr>
        <w:t>РЕШЕНИЕ</w:t>
      </w:r>
    </w:p>
    <w:p>
      <w:pPr>
        <w:pStyle w:val="Normal"/>
        <w:bidi w:val="0"/>
        <w:spacing w:lineRule="auto" w:line="240"/>
        <w:ind w:start="0" w:end="0" w:firstLine="284"/>
        <w:jc w:val="center"/>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РНП – 23-697/2026</w:t>
      </w:r>
    </w:p>
    <w:p>
      <w:pPr>
        <w:pStyle w:val="Normal"/>
        <w:bidi w:val="0"/>
        <w:spacing w:lineRule="auto" w:line="240"/>
        <w:ind w:start="0" w:end="0" w:firstLine="284"/>
        <w:jc w:val="center"/>
        <w:rPr/>
      </w:pPr>
      <w:r>
        <w:rPr>
          <w:rFonts w:ascii="Times New Roman" w:hAnsi="Times New Roman"/>
          <w:sz w:val="26"/>
          <w:szCs w:val="26"/>
          <w:shd w:fill="auto" w:val="clear"/>
        </w:rPr>
        <w:t xml:space="preserve">по делу № </w:t>
      </w:r>
      <w:r>
        <w:rPr>
          <w:rStyle w:val="ConsPlusNormal"/>
          <w:rFonts w:eastAsia="0" w:ascii="Times New Roman" w:hAnsi="Times New Roman"/>
          <w:color w:val="000000"/>
          <w:sz w:val="26"/>
          <w:szCs w:val="26"/>
          <w:shd w:fill="auto" w:val="clear"/>
        </w:rPr>
        <w:t>023/06/104-4009/2026</w:t>
      </w:r>
    </w:p>
    <w:p>
      <w:pPr>
        <w:pStyle w:val="Normal"/>
        <w:bidi w:val="0"/>
        <w:spacing w:lineRule="auto" w:line="240"/>
        <w:ind w:start="0" w:end="0" w:firstLine="284"/>
        <w:jc w:val="center"/>
        <w:rPr>
          <w:rFonts w:ascii="Times New Roman" w:hAnsi="Times New Roman"/>
          <w:sz w:val="26"/>
          <w:szCs w:val="26"/>
        </w:rPr>
      </w:pPr>
      <w:r>
        <w:rPr>
          <w:rFonts w:ascii="Times New Roman" w:hAnsi="Times New Roman"/>
          <w:sz w:val="26"/>
          <w:szCs w:val="26"/>
        </w:rPr>
        <w:t>о проведении внеплановой проверки по рассмотрению факта уклонения</w:t>
      </w:r>
    </w:p>
    <w:p>
      <w:pPr>
        <w:pStyle w:val="Normal"/>
        <w:bidi w:val="0"/>
        <w:spacing w:lineRule="auto" w:line="240"/>
        <w:ind w:start="0" w:end="0" w:firstLine="284"/>
        <w:jc w:val="center"/>
        <w:rPr>
          <w:rFonts w:ascii="Times New Roman" w:hAnsi="Times New Roman"/>
          <w:sz w:val="26"/>
          <w:szCs w:val="26"/>
        </w:rPr>
      </w:pPr>
      <w:r>
        <w:rPr>
          <w:rFonts w:ascii="Times New Roman" w:hAnsi="Times New Roman"/>
          <w:sz w:val="26"/>
          <w:szCs w:val="26"/>
        </w:rPr>
        <w:t>участника закупки от заключения контракта</w:t>
      </w:r>
    </w:p>
    <w:p>
      <w:pPr>
        <w:pStyle w:val="Normal"/>
        <w:bidi w:val="0"/>
        <w:spacing w:lineRule="auto" w:line="240"/>
        <w:ind w:start="0" w:end="0" w:firstLine="284"/>
        <w:jc w:val="center"/>
        <w:rPr>
          <w:rFonts w:ascii="Times New Roman" w:hAnsi="Times New Roman"/>
          <w:sz w:val="26"/>
          <w:szCs w:val="26"/>
        </w:rPr>
      </w:pPr>
      <w:r>
        <w:rPr>
          <w:rFonts w:ascii="Times New Roman" w:hAnsi="Times New Roman"/>
          <w:sz w:val="26"/>
          <w:szCs w:val="26"/>
        </w:rPr>
      </w:r>
    </w:p>
    <w:p>
      <w:pPr>
        <w:pStyle w:val="Normal"/>
        <w:bidi w:val="0"/>
        <w:spacing w:lineRule="auto" w:line="240"/>
        <w:jc w:val="both"/>
        <w:rPr>
          <w:rFonts w:ascii="Times New Roman" w:hAnsi="Times New Roman"/>
          <w:sz w:val="26"/>
          <w:szCs w:val="26"/>
        </w:rPr>
      </w:pPr>
      <w:r>
        <w:rPr>
          <w:rFonts w:ascii="Times New Roman" w:hAnsi="Times New Roman"/>
          <w:sz w:val="26"/>
          <w:szCs w:val="26"/>
        </w:rPr>
        <w:t>01 сентября 2026 года                                                                                         г. Краснодар</w:t>
      </w:r>
    </w:p>
    <w:p>
      <w:pPr>
        <w:pStyle w:val="Normal"/>
        <w:bidi w:val="0"/>
        <w:spacing w:lineRule="auto" w:line="240"/>
        <w:ind w:start="0" w:end="0" w:firstLine="284"/>
        <w:jc w:val="both"/>
        <w:rPr>
          <w:rFonts w:ascii="Times New Roman" w:hAnsi="Times New Roman"/>
          <w:sz w:val="26"/>
          <w:szCs w:val="26"/>
        </w:rPr>
      </w:pPr>
      <w:r>
        <w:rPr>
          <w:rFonts w:ascii="Times New Roman" w:hAnsi="Times New Roman"/>
          <w:sz w:val="26"/>
          <w:szCs w:val="26"/>
        </w:rPr>
      </w:r>
    </w:p>
    <w:p>
      <w:pPr>
        <w:pStyle w:val="Normal"/>
        <w:widowControl w:val="false"/>
        <w:suppressAutoHyphens w:val="true"/>
        <w:bidi w:val="0"/>
        <w:spacing w:lineRule="auto" w:line="240" w:before="0" w:after="0"/>
        <w:ind w:start="0" w:end="0" w:firstLine="737"/>
        <w:jc w:val="both"/>
        <w:rPr>
          <w:rFonts w:ascii="Times New Roman" w:hAnsi="Times New Roman"/>
          <w:sz w:val="26"/>
          <w:szCs w:val="26"/>
        </w:rPr>
      </w:pPr>
      <w:r>
        <w:rPr>
          <w:rFonts w:ascii="Times New Roman" w:hAnsi="Times New Roman"/>
          <w:color w:val="000000"/>
          <w:sz w:val="26"/>
          <w:szCs w:val="26"/>
        </w:rPr>
        <w:t>рассмотрев сведения, представленные ГБУЗ «НИИ-ККБ №1 имени профессора С.В. Очаповского» МЗ КК о включении в реестр недобросовестных поставщиков (подрядчиков, исполнителей) ИП Шавлюк А.В. при проведении  электронного аукциона: «Поставка медицинских изделий (Игла эндоскопическая, общего назначения, одноразового использования)» (извещение № 0818500000826003514),</w:t>
      </w:r>
    </w:p>
    <w:p>
      <w:pPr>
        <w:pStyle w:val="Normal"/>
        <w:widowControl w:val="false"/>
        <w:suppressAutoHyphens w:val="true"/>
        <w:bidi w:val="0"/>
        <w:spacing w:lineRule="auto" w:line="240" w:before="0" w:after="0"/>
        <w:ind w:start="0" w:end="0" w:firstLine="737"/>
        <w:jc w:val="both"/>
        <w:rPr>
          <w:rFonts w:ascii="Times New Roman" w:hAnsi="Times New Roman"/>
          <w:sz w:val="26"/>
          <w:szCs w:val="26"/>
        </w:rPr>
      </w:pPr>
      <w:r>
        <w:rPr>
          <w:rFonts w:ascii="Times New Roman" w:hAnsi="Times New Roman"/>
          <w:sz w:val="26"/>
          <w:szCs w:val="26"/>
        </w:rPr>
      </w:r>
    </w:p>
    <w:p>
      <w:pPr>
        <w:pStyle w:val="Normal"/>
        <w:bidi w:val="0"/>
        <w:spacing w:lineRule="auto" w:line="240"/>
        <w:ind w:start="0" w:end="0" w:firstLine="709"/>
        <w:jc w:val="center"/>
        <w:rPr>
          <w:rFonts w:ascii="Times New Roman" w:hAnsi="Times New Roman"/>
        </w:rPr>
      </w:pPr>
      <w:r>
        <w:rPr>
          <w:rFonts w:ascii="Times New Roman" w:hAnsi="Times New Roman"/>
          <w:b/>
          <w:color w:val="000000"/>
          <w:sz w:val="26"/>
          <w:szCs w:val="26"/>
        </w:rPr>
        <w:t>УСТАНОВИЛА:</w:t>
      </w:r>
    </w:p>
    <w:p>
      <w:pPr>
        <w:pStyle w:val="Normal"/>
        <w:bidi w:val="0"/>
        <w:spacing w:lineRule="auto" w:line="240"/>
        <w:ind w:start="0" w:end="0" w:firstLine="709"/>
        <w:jc w:val="center"/>
        <w:rPr>
          <w:rFonts w:ascii="Times New Roman" w:hAnsi="Times New Roman"/>
        </w:rPr>
      </w:pPr>
      <w:r>
        <w:rPr>
          <w:rFonts w:ascii="Times New Roman" w:hAnsi="Times New Roman"/>
        </w:rPr>
      </w:r>
    </w:p>
    <w:p>
      <w:pPr>
        <w:pStyle w:val="Normal"/>
        <w:bidi w:val="0"/>
        <w:spacing w:lineRule="auto" w:line="240"/>
        <w:ind w:start="0" w:end="0" w:firstLine="709"/>
        <w:jc w:val="both"/>
        <w:rPr>
          <w:rFonts w:ascii="Times New Roman" w:hAnsi="Times New Roman"/>
        </w:rPr>
      </w:pPr>
      <w:r>
        <w:rPr>
          <w:rFonts w:ascii="Times New Roman" w:hAnsi="Times New Roman"/>
          <w:color w:val="000000"/>
          <w:sz w:val="26"/>
          <w:szCs w:val="26"/>
        </w:rPr>
        <w:t>В Управление Федеральной антимонопольной службы по Краснодарскому краю поступили сведения ГБУЗ «НИИ-ККБ №1 имени профессора С.В. Очаповского» МЗ КК (далее – Заказчик) о включении в реестр недобросовестных поставщиков (подрядчиков, исполнителей) ИП Шавлюк А.В. при проведении  электронного аукциона: «Поставка медицинских изделий (Игла эндоскопическая, общего назначения, одноразового использования)» (извещение № 0818500000826003514).</w:t>
      </w:r>
    </w:p>
    <w:p>
      <w:pPr>
        <w:pStyle w:val="Normal"/>
        <w:bidi w:val="0"/>
        <w:spacing w:lineRule="auto" w:line="240"/>
        <w:ind w:start="0" w:end="0" w:firstLine="709"/>
        <w:jc w:val="both"/>
        <w:rPr>
          <w:rFonts w:ascii="Times New Roman" w:hAnsi="Times New Roman"/>
        </w:rPr>
      </w:pPr>
      <w:r>
        <w:rPr>
          <w:rFonts w:ascii="Times New Roman" w:hAnsi="Times New Roman"/>
          <w:sz w:val="26"/>
          <w:szCs w:val="26"/>
        </w:rPr>
        <w:t>22.06.2026 г. по результатам проведения закупки был заключен контракт № 0818500000826003514. Цена контракта 5 296 578,66 рублей.</w:t>
      </w:r>
    </w:p>
    <w:p>
      <w:pPr>
        <w:pStyle w:val="1"/>
        <w:shd w:fill="FFFFFF"/>
        <w:bidi w:val="0"/>
        <w:spacing w:lineRule="auto" w:line="240"/>
        <w:ind w:start="0" w:end="0" w:firstLine="709"/>
        <w:jc w:val="both"/>
        <w:rPr>
          <w:rFonts w:ascii="Times New Roman" w:hAnsi="Times New Roman"/>
        </w:rPr>
      </w:pPr>
      <w:r>
        <w:rPr>
          <w:rFonts w:ascii="Times New Roman" w:hAnsi="Times New Roman"/>
        </w:rPr>
        <w:t>12.08.2026 г. Заказчиком принято решение об одностороннем отказе от исполнения контракта в соответствии со ст. 95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Normal"/>
        <w:tabs>
          <w:tab w:val="clear" w:pos="709"/>
          <w:tab w:val="left" w:pos="0" w:leader="none"/>
        </w:tabs>
        <w:bidi w:val="0"/>
        <w:spacing w:lineRule="auto" w:line="240"/>
        <w:ind w:start="0" w:end="0" w:firstLine="709"/>
        <w:jc w:val="both"/>
        <w:rPr>
          <w:rFonts w:ascii="Times New Roman" w:hAnsi="Times New Roman"/>
        </w:rPr>
      </w:pPr>
      <w:r>
        <w:rPr>
          <w:rFonts w:ascii="Times New Roman" w:hAnsi="Times New Roman"/>
          <w:color w:val="000000"/>
          <w:sz w:val="26"/>
          <w:szCs w:val="26"/>
          <w:lang w:bidi="ru-RU"/>
        </w:rPr>
        <w:t>Заказчиком также предоставлены сведения в соответствии с ч. 3 ст. 104 Закона о контрактной системе:</w:t>
      </w:r>
    </w:p>
    <w:p>
      <w:pPr>
        <w:pStyle w:val="Normal"/>
        <w:bidi w:val="0"/>
        <w:spacing w:lineRule="auto" w:line="240"/>
        <w:ind w:start="0" w:end="0" w:firstLine="709"/>
        <w:jc w:val="both"/>
        <w:rPr>
          <w:rFonts w:ascii="Times New Roman" w:hAnsi="Times New Roman"/>
        </w:rPr>
      </w:pPr>
      <w:r>
        <w:rPr>
          <w:rFonts w:ascii="Times New Roman" w:hAnsi="Times New Roman"/>
          <w:color w:val="000000"/>
          <w:sz w:val="26"/>
          <w:szCs w:val="26"/>
          <w:lang w:bidi="ru-RU"/>
        </w:rPr>
        <w:t>- Участник закупки: ИП Шавлюк А.В. (ИНН: 510802903381);</w:t>
      </w:r>
    </w:p>
    <w:p>
      <w:pPr>
        <w:pStyle w:val="Normal"/>
        <w:bidi w:val="0"/>
        <w:spacing w:lineRule="auto" w:line="240"/>
        <w:ind w:start="0" w:end="0" w:firstLine="709"/>
        <w:jc w:val="both"/>
        <w:rPr>
          <w:rFonts w:ascii="Times New Roman" w:hAnsi="Times New Roman"/>
        </w:rPr>
      </w:pPr>
      <w:r>
        <w:rPr>
          <w:rFonts w:ascii="Times New Roman" w:hAnsi="Times New Roman"/>
          <w:color w:val="000000"/>
          <w:sz w:val="26"/>
          <w:szCs w:val="26"/>
          <w:lang w:bidi="ru-RU"/>
        </w:rPr>
        <w:t>- адрес: 195027, г.Спнкт-Петербург, вн.тер.г. муниципальный округ Большая Охта, пр-кт Энергетиков, д. 11, к. 2, стр. 1, кв. 582;</w:t>
      </w:r>
    </w:p>
    <w:p>
      <w:pPr>
        <w:pStyle w:val="Normal"/>
        <w:bidi w:val="0"/>
        <w:spacing w:lineRule="auto" w:line="240"/>
        <w:ind w:start="0" w:end="0" w:firstLine="709"/>
        <w:jc w:val="both"/>
        <w:rPr>
          <w:rFonts w:ascii="Times New Roman" w:hAnsi="Times New Roman"/>
        </w:rPr>
      </w:pPr>
      <w:r>
        <w:rPr>
          <w:rFonts w:ascii="Times New Roman" w:hAnsi="Times New Roman"/>
          <w:sz w:val="26"/>
          <w:szCs w:val="26"/>
        </w:rPr>
        <w:t xml:space="preserve">- срок исполнения контракта 18.02.2027; </w:t>
      </w:r>
    </w:p>
    <w:p>
      <w:pPr>
        <w:pStyle w:val="Normal"/>
        <w:bidi w:val="0"/>
        <w:spacing w:lineRule="auto" w:line="240"/>
        <w:ind w:start="0" w:end="0" w:firstLine="709"/>
        <w:jc w:val="both"/>
        <w:rPr>
          <w:rFonts w:ascii="Times New Roman" w:hAnsi="Times New Roman"/>
        </w:rPr>
      </w:pPr>
      <w:r>
        <w:rPr>
          <w:rFonts w:ascii="Times New Roman" w:hAnsi="Times New Roman"/>
          <w:sz w:val="26"/>
          <w:szCs w:val="26"/>
        </w:rPr>
        <w:t>- дата расторжения контракта 25.08.2026</w:t>
      </w:r>
      <w:r>
        <w:rPr>
          <w:rFonts w:ascii="Times New Roman" w:hAnsi="Times New Roman"/>
          <w:bCs/>
          <w:color w:val="000000"/>
          <w:sz w:val="26"/>
          <w:szCs w:val="26"/>
        </w:rPr>
        <w:t xml:space="preserve">; </w:t>
      </w:r>
    </w:p>
    <w:p>
      <w:pPr>
        <w:pStyle w:val="Normal"/>
        <w:tabs>
          <w:tab w:val="clear" w:pos="709"/>
          <w:tab w:val="left" w:pos="142" w:leader="none"/>
          <w:tab w:val="left" w:pos="10206" w:leader="none"/>
        </w:tabs>
        <w:bidi w:val="0"/>
        <w:spacing w:lineRule="auto" w:line="240"/>
        <w:ind w:start="0" w:end="0" w:firstLine="709"/>
        <w:jc w:val="both"/>
        <w:rPr>
          <w:rFonts w:ascii="Times New Roman" w:hAnsi="Times New Roman"/>
        </w:rPr>
      </w:pPr>
      <w:r>
        <w:rPr>
          <w:rFonts w:ascii="Times New Roman" w:hAnsi="Times New Roman"/>
          <w:bCs/>
          <w:color w:val="000000"/>
          <w:sz w:val="26"/>
          <w:szCs w:val="26"/>
        </w:rPr>
        <w:t>- наименование объекта закупки: Поставка медицинских изделий (Игла эндоскопическая, общего назначения, одноразового использования).</w:t>
      </w:r>
    </w:p>
    <w:p>
      <w:pPr>
        <w:pStyle w:val="Normal"/>
        <w:tabs>
          <w:tab w:val="clear" w:pos="709"/>
          <w:tab w:val="left" w:pos="142" w:leader="none"/>
          <w:tab w:val="left" w:pos="10206" w:leader="none"/>
        </w:tabs>
        <w:bidi w:val="0"/>
        <w:spacing w:lineRule="auto" w:line="240"/>
        <w:ind w:start="0" w:end="0" w:firstLine="709"/>
        <w:jc w:val="both"/>
        <w:rPr>
          <w:rFonts w:ascii="Times New Roman" w:hAnsi="Times New Roman"/>
        </w:rPr>
      </w:pPr>
      <w:r>
        <w:rPr>
          <w:rFonts w:ascii="Times New Roman" w:hAnsi="Times New Roman"/>
          <w:bCs/>
          <w:color w:val="000000"/>
          <w:sz w:val="26"/>
          <w:szCs w:val="26"/>
        </w:rPr>
        <w:t xml:space="preserve">- цена контракта 5 296 578,66 </w:t>
      </w:r>
      <w:r>
        <w:rPr>
          <w:rFonts w:ascii="Times New Roman" w:hAnsi="Times New Roman"/>
          <w:bCs/>
          <w:sz w:val="26"/>
          <w:szCs w:val="26"/>
        </w:rPr>
        <w:t xml:space="preserve"> </w:t>
      </w:r>
      <w:r>
        <w:rPr>
          <w:rFonts w:ascii="Times New Roman" w:hAnsi="Times New Roman"/>
          <w:bCs/>
          <w:color w:val="000000"/>
          <w:sz w:val="26"/>
          <w:szCs w:val="26"/>
        </w:rPr>
        <w:t>рублей.</w:t>
      </w:r>
    </w:p>
    <w:p>
      <w:pPr>
        <w:pStyle w:val="2"/>
        <w:shd w:fill="FFFFFF"/>
        <w:tabs>
          <w:tab w:val="clear" w:pos="709"/>
          <w:tab w:val="left" w:pos="0" w:leader="none"/>
        </w:tabs>
        <w:bidi w:val="0"/>
        <w:spacing w:lineRule="auto" w:line="240"/>
        <w:ind w:start="0" w:end="0" w:firstLine="709"/>
        <w:jc w:val="both"/>
        <w:rPr>
          <w:rFonts w:ascii="Times New Roman" w:hAnsi="Times New Roman"/>
        </w:rPr>
      </w:pPr>
      <w:r>
        <w:rPr>
          <w:rFonts w:ascii="Times New Roman" w:hAnsi="Times New Roman"/>
          <w:color w:val="000000"/>
          <w:sz w:val="26"/>
          <w:szCs w:val="26"/>
        </w:rPr>
        <w:t xml:space="preserve">Рассмотрев представленные сведения, Комиссия пришла к следующим выводам. </w:t>
      </w:r>
    </w:p>
    <w:p>
      <w:pPr>
        <w:pStyle w:val="Normal"/>
        <w:bidi w:val="0"/>
        <w:spacing w:lineRule="auto" w:line="240"/>
        <w:ind w:start="0" w:end="0" w:firstLine="709"/>
        <w:jc w:val="both"/>
        <w:rPr>
          <w:rFonts w:ascii="Times New Roman" w:hAnsi="Times New Roman"/>
        </w:rPr>
      </w:pPr>
      <w:r>
        <w:rPr>
          <w:rFonts w:ascii="Times New Roman" w:hAnsi="Times New Roman"/>
          <w:sz w:val="26"/>
          <w:szCs w:val="26"/>
        </w:rPr>
        <w:t>Заказчиком - ГБУЗ «НИИ-ККБ №1 имени профессора С.В. Очаповского» МЗ КК  и ИП Шавлюк А.В.</w:t>
      </w:r>
      <w:r>
        <w:rPr>
          <w:rFonts w:ascii="Times New Roman" w:hAnsi="Times New Roman"/>
          <w:color w:val="000000"/>
          <w:sz w:val="26"/>
          <w:szCs w:val="26"/>
        </w:rPr>
        <w:t xml:space="preserve"> заключен контракт: «Поставка медицинских изделий (Игла эндоскопическая, общего назначения, одноразового использования)» контракт № </w:t>
      </w:r>
      <w:r>
        <w:rPr>
          <w:rFonts w:ascii="Times New Roman" w:hAnsi="Times New Roman"/>
          <w:color w:val="000000"/>
          <w:sz w:val="26"/>
          <w:szCs w:val="26"/>
          <w:lang w:val="en-US"/>
        </w:rPr>
        <w:t>0818500000826003514</w:t>
      </w:r>
      <w:r>
        <w:rPr>
          <w:rFonts w:ascii="Times New Roman" w:hAnsi="Times New Roman"/>
          <w:color w:val="000000"/>
          <w:sz w:val="26"/>
          <w:szCs w:val="26"/>
        </w:rPr>
        <w:t xml:space="preserve"> с НМЦК 5 296 578,66 рублей. </w:t>
      </w:r>
    </w:p>
    <w:p>
      <w:pPr>
        <w:pStyle w:val="Style19"/>
        <w:tabs>
          <w:tab w:val="clear" w:pos="709"/>
          <w:tab w:val="left" w:pos="0" w:leader="none"/>
        </w:tabs>
        <w:bidi w:val="0"/>
        <w:spacing w:lineRule="auto" w:line="240"/>
        <w:ind w:start="0" w:end="0" w:firstLine="709"/>
        <w:jc w:val="both"/>
        <w:rPr>
          <w:rFonts w:ascii="Times New Roman" w:hAnsi="Times New Roman"/>
        </w:rPr>
      </w:pPr>
      <w:r>
        <w:rPr>
          <w:rFonts w:ascii="Times New Roman" w:hAnsi="Times New Roman"/>
          <w:sz w:val="26"/>
          <w:szCs w:val="26"/>
        </w:rPr>
        <w:t>В соответствии со ст. 309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w:t>
      </w:r>
    </w:p>
    <w:p>
      <w:pPr>
        <w:pStyle w:val="Style19"/>
        <w:tabs>
          <w:tab w:val="clear" w:pos="709"/>
          <w:tab w:val="left" w:pos="0" w:leader="none"/>
        </w:tabs>
        <w:bidi w:val="0"/>
        <w:spacing w:lineRule="auto" w:line="240"/>
        <w:ind w:start="0" w:end="0" w:firstLine="709"/>
        <w:jc w:val="both"/>
        <w:rPr/>
      </w:pPr>
      <w:r>
        <w:rPr>
          <w:rFonts w:ascii="Times New Roman" w:hAnsi="Times New Roman"/>
          <w:sz w:val="26"/>
          <w:szCs w:val="26"/>
        </w:rPr>
        <w:t>Ч. 9 ст. 95 Закона о контрактной системе предусмотрено, что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pPr>
        <w:pStyle w:val="Normal"/>
        <w:bidi w:val="0"/>
        <w:spacing w:lineRule="auto" w:line="240"/>
        <w:ind w:start="0" w:end="0" w:firstLine="709"/>
        <w:jc w:val="both"/>
        <w:rPr>
          <w:rFonts w:ascii="Times New Roman" w:hAnsi="Times New Roman"/>
        </w:rPr>
      </w:pPr>
      <w:r>
        <w:rPr>
          <w:rFonts w:ascii="Times New Roman" w:hAnsi="Times New Roman"/>
          <w:color w:val="000000"/>
          <w:sz w:val="26"/>
          <w:szCs w:val="26"/>
        </w:rPr>
        <w:t xml:space="preserve">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 (ч.13 ст.95 Закона о контрактной системе). </w:t>
      </w:r>
    </w:p>
    <w:p>
      <w:pPr>
        <w:pStyle w:val="Normal"/>
        <w:bidi w:val="0"/>
        <w:spacing w:lineRule="auto" w:line="240"/>
        <w:ind w:start="0" w:end="0" w:firstLine="709"/>
        <w:jc w:val="both"/>
        <w:rPr>
          <w:rFonts w:ascii="Times New Roman" w:hAnsi="Times New Roman"/>
        </w:rPr>
      </w:pPr>
      <w:r>
        <w:rPr>
          <w:rFonts w:ascii="Times New Roman" w:hAnsi="Times New Roman"/>
          <w:color w:val="000000"/>
          <w:sz w:val="26"/>
          <w:szCs w:val="26"/>
          <w:lang w:val="en-US"/>
        </w:rPr>
        <w:t>12</w:t>
      </w:r>
      <w:r>
        <w:rPr>
          <w:rFonts w:ascii="Times New Roman" w:hAnsi="Times New Roman"/>
          <w:color w:val="000000"/>
          <w:sz w:val="26"/>
          <w:szCs w:val="26"/>
        </w:rPr>
        <w:t>.08.2026 Заказчиком принято решение об одностороннем отказе от исполнения контракта.</w:t>
      </w:r>
    </w:p>
    <w:p>
      <w:pPr>
        <w:pStyle w:val="Normal"/>
        <w:bidi w:val="0"/>
        <w:spacing w:lineRule="auto" w:line="240"/>
        <w:ind w:start="0" w:end="0" w:firstLine="709"/>
        <w:jc w:val="both"/>
        <w:rPr>
          <w:rFonts w:ascii="Times New Roman" w:hAnsi="Times New Roman"/>
        </w:rPr>
      </w:pPr>
      <w:r>
        <w:rPr>
          <w:rFonts w:ascii="Times New Roman" w:hAnsi="Times New Roman"/>
          <w:color w:val="000000"/>
          <w:sz w:val="26"/>
          <w:szCs w:val="26"/>
        </w:rPr>
        <w:t>Таким образом, у Исполнителя имеется десятидневный срок с даты надлежащего уведомления поставщика (подрядчика, исполнителя) о принятом решении, об одностороннем отказе от исполнения контракта для устранения нарушений условий контракта, послужившие основанием для принятия указанного решения.</w:t>
      </w:r>
    </w:p>
    <w:p>
      <w:pPr>
        <w:pStyle w:val="Normal"/>
        <w:bidi w:val="0"/>
        <w:spacing w:lineRule="auto" w:line="240"/>
        <w:ind w:start="0" w:end="0" w:firstLine="709"/>
        <w:jc w:val="both"/>
        <w:rPr>
          <w:rFonts w:ascii="Times New Roman" w:hAnsi="Times New Roman"/>
        </w:rPr>
      </w:pPr>
      <w:r>
        <w:rPr>
          <w:rFonts w:ascii="Times New Roman" w:hAnsi="Times New Roman"/>
          <w:color w:val="000000"/>
          <w:sz w:val="26"/>
          <w:szCs w:val="26"/>
        </w:rPr>
        <w:t xml:space="preserve">Как разъяснено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w:t>
      </w:r>
    </w:p>
    <w:p>
      <w:pPr>
        <w:pStyle w:val="Normal"/>
        <w:bidi w:val="0"/>
        <w:spacing w:lineRule="auto" w:line="240"/>
        <w:ind w:start="0" w:end="0" w:firstLine="709"/>
        <w:jc w:val="both"/>
        <w:rPr>
          <w:rFonts w:ascii="Times New Roman" w:hAnsi="Times New Roman"/>
        </w:rPr>
      </w:pPr>
      <w:r>
        <w:rPr>
          <w:rFonts w:ascii="Times New Roman" w:hAnsi="Times New Roman"/>
          <w:color w:val="000000"/>
          <w:sz w:val="26"/>
          <w:szCs w:val="26"/>
        </w:rPr>
        <w:t>Поведение одной из сторон может быть признано недобросовестным, если усматривается очевидное отклонение действий участника гражданского оборота от добросовестного поведения.</w:t>
      </w:r>
    </w:p>
    <w:p>
      <w:pPr>
        <w:pStyle w:val="Normal"/>
        <w:bidi w:val="0"/>
        <w:spacing w:lineRule="auto" w:line="240"/>
        <w:ind w:start="0" w:end="0" w:firstLine="709"/>
        <w:jc w:val="both"/>
        <w:rPr>
          <w:rFonts w:ascii="Times New Roman" w:hAnsi="Times New Roman"/>
        </w:rPr>
      </w:pPr>
      <w:r>
        <w:rPr>
          <w:rFonts w:ascii="Times New Roman" w:hAnsi="Times New Roman"/>
          <w:color w:val="000000"/>
          <w:sz w:val="26"/>
          <w:szCs w:val="26"/>
        </w:rPr>
        <w:t>При рассмотрении вопроса о законности решения антимонопольного органа о включении или невключении лица в реестр недобросовестных поставщиков нельзя ограничиться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 Антимонопольный орган при принятии решения о включении в реестр недобросовестных поставщиков не должен ограничиваться формальной позицией, поэтому по делу подлежат установлению обстоятельства недобросовестного поведения поставщика (определение Верховного Суда Российской Федерации от 19.02.2015 № 301-КГ15-632).</w:t>
      </w:r>
    </w:p>
    <w:p>
      <w:pPr>
        <w:pStyle w:val="Normal"/>
        <w:bidi w:val="0"/>
        <w:spacing w:lineRule="auto" w:line="240"/>
        <w:ind w:start="0" w:end="0" w:firstLine="709"/>
        <w:jc w:val="both"/>
        <w:rPr>
          <w:rFonts w:ascii="Times New Roman" w:hAnsi="Times New Roman"/>
        </w:rPr>
      </w:pPr>
      <w:r>
        <w:rPr>
          <w:rFonts w:ascii="Times New Roman" w:hAnsi="Times New Roman"/>
          <w:color w:val="000000"/>
          <w:sz w:val="26"/>
          <w:szCs w:val="26"/>
        </w:rPr>
        <w:t>Основанием для включения в реестр недобросовестных поставщиков является такое уклонение от исполнения контракта, которое свидетельствует о недобросовестном поведении (определение Верховного Суда Российской Федерации от 11.02.2016 № 305-КГ15-19295).</w:t>
      </w:r>
    </w:p>
    <w:p>
      <w:pPr>
        <w:pStyle w:val="Normal"/>
        <w:bidi w:val="0"/>
        <w:spacing w:lineRule="auto" w:line="240"/>
        <w:ind w:start="0" w:end="0" w:firstLine="709"/>
        <w:jc w:val="both"/>
        <w:rPr>
          <w:rFonts w:ascii="Times New Roman" w:hAnsi="Times New Roman"/>
        </w:rPr>
      </w:pPr>
      <w:r>
        <w:rPr>
          <w:rFonts w:ascii="Times New Roman" w:hAnsi="Times New Roman"/>
          <w:color w:val="000000"/>
          <w:sz w:val="26"/>
          <w:szCs w:val="26"/>
        </w:rPr>
        <w:t>При применении санкции учитывается характер правонарушения, размер причиненного вреда, степень вины правонарушителя и иные существенные для такого нарушения обстоятельства (определение Верховного Суда Российской Федерации от 13.06.2023 № 301-ЭС23-9136).</w:t>
      </w:r>
    </w:p>
    <w:p>
      <w:pPr>
        <w:pStyle w:val="Normal"/>
        <w:bidi w:val="0"/>
        <w:spacing w:lineRule="auto" w:line="240"/>
        <w:ind w:start="0" w:end="0" w:firstLine="709"/>
        <w:jc w:val="both"/>
        <w:rPr>
          <w:rFonts w:ascii="Times New Roman" w:hAnsi="Times New Roman"/>
        </w:rPr>
      </w:pPr>
      <w:r>
        <w:rPr>
          <w:rFonts w:ascii="Times New Roman" w:hAnsi="Times New Roman"/>
          <w:color w:val="000000"/>
          <w:sz w:val="26"/>
          <w:szCs w:val="26"/>
        </w:rPr>
        <w:t>В силу п. 15 постановления Правительства РФ от 30 июня 2021 г.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орган контроля принимает решение об отказе во включении информации о поставщике (подрядчике, исполнителе) в реестр в следующих случаях, если при рассмотрении обращения, направленного в связи с расторжением контракта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 и при проведении проверок, предусмотренных подпунктом "а" пункта 13 настоящих Правил поставщиком (подрядчиком, исполнителем) представлены информация и документы, подтверждающие принятие им мер для надлежащего исполнения условий контракта.</w:t>
      </w:r>
    </w:p>
    <w:p>
      <w:pPr>
        <w:pStyle w:val="Normal"/>
        <w:bidi w:val="0"/>
        <w:spacing w:lineRule="auto" w:line="240"/>
        <w:ind w:start="0" w:end="0" w:firstLine="709"/>
        <w:jc w:val="both"/>
        <w:rPr>
          <w:rFonts w:ascii="Times New Roman" w:hAnsi="Times New Roman"/>
        </w:rPr>
      </w:pPr>
      <w:r>
        <w:rPr>
          <w:rFonts w:ascii="Times New Roman" w:hAnsi="Times New Roman"/>
          <w:color w:val="000000"/>
          <w:sz w:val="26"/>
          <w:szCs w:val="26"/>
        </w:rPr>
        <w:t xml:space="preserve">На основании ч.1 ст.401 ГК РФ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w:t>
      </w:r>
      <w:r>
        <w:rPr>
          <w:rFonts w:ascii="Times New Roman" w:hAnsi="Times New Roman"/>
          <w:sz w:val="26"/>
          <w:szCs w:val="26"/>
        </w:rPr>
        <w:t>предусмотрены иные основания ответственности. 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w:t>
      </w:r>
    </w:p>
    <w:p>
      <w:pPr>
        <w:pStyle w:val="Normal"/>
        <w:bidi w:val="0"/>
        <w:spacing w:lineRule="auto" w:line="240"/>
        <w:ind w:start="0" w:end="0" w:firstLine="709"/>
        <w:jc w:val="both"/>
        <w:rPr>
          <w:rFonts w:ascii="Times New Roman" w:hAnsi="Times New Roman"/>
        </w:rPr>
      </w:pPr>
      <w:r>
        <w:rPr>
          <w:rFonts w:ascii="Times New Roman" w:hAnsi="Times New Roman"/>
          <w:sz w:val="26"/>
          <w:szCs w:val="26"/>
        </w:rPr>
        <w:t xml:space="preserve">Между ГБУЗ «НИИ-ККБ №1 имени профессора С.В. Очаповского» МЗ КК и </w:t>
      </w:r>
      <w:r>
        <w:rPr>
          <w:rFonts w:ascii="Times New Roman" w:hAnsi="Times New Roman"/>
          <w:color w:val="000000"/>
          <w:sz w:val="26"/>
          <w:szCs w:val="26"/>
        </w:rPr>
        <w:t>ИП Шавлюк А.В.</w:t>
      </w:r>
      <w:r>
        <w:rPr>
          <w:rFonts w:ascii="Times New Roman" w:hAnsi="Times New Roman"/>
          <w:sz w:val="26"/>
          <w:szCs w:val="26"/>
        </w:rPr>
        <w:t xml:space="preserve"> по результатам проведения закупки заключен контракт № 0818500000826003514. Цена контракта 5 296 578,66 рублей.</w:t>
      </w:r>
    </w:p>
    <w:p>
      <w:pPr>
        <w:pStyle w:val="Normal"/>
        <w:suppressAutoHyphens w:val="true"/>
        <w:bidi w:val="0"/>
        <w:spacing w:lineRule="auto" w:line="240"/>
        <w:ind w:firstLine="709"/>
        <w:jc w:val="both"/>
        <w:rPr>
          <w:rFonts w:ascii="Times New Roman" w:hAnsi="Times New Roman" w:eastAsia="Times New Roman" w:cs="Times New Roman"/>
          <w:b/>
          <w:b/>
          <w:lang w:eastAsia="ru-RU"/>
        </w:rPr>
      </w:pPr>
      <w:r>
        <w:rPr>
          <w:rFonts w:cs="Times New Roman" w:ascii="Times New Roman" w:hAnsi="Times New Roman"/>
          <w:sz w:val="26"/>
          <w:szCs w:val="26"/>
        </w:rPr>
        <w:t xml:space="preserve">Согласно Контракту, Поставщик обязуется в порядке и сроки, предусмотренные Контрактом, осуществить поставку Медицинских изделий (Игла эндоскопическая, общего назначения, одноразового использования) (код ОКПД 2 – 32.50.13.110) (далее – Медицинские изделия, товар) в соответствии со Спецификацией (приложение № 1 к Контракту) и надлежащим образом оказать услуги по доставке, разгрузке (далее Услуги), а Заказчик обязуется в порядке и сроки, предусмотренные Контрактом, принять и оплатить поставленные Медицинские изделия. </w:t>
      </w:r>
    </w:p>
    <w:p>
      <w:pPr>
        <w:pStyle w:val="Normal"/>
        <w:suppressAutoHyphens w:val="true"/>
        <w:bidi w:val="0"/>
        <w:spacing w:lineRule="auto" w:line="240"/>
        <w:ind w:firstLine="709"/>
        <w:jc w:val="both"/>
        <w:rPr/>
      </w:pPr>
      <w:r>
        <w:rPr>
          <w:rFonts w:cs="Times New Roman" w:ascii="Times New Roman" w:hAnsi="Times New Roman"/>
          <w:color w:val="000000"/>
          <w:sz w:val="26"/>
          <w:szCs w:val="26"/>
        </w:rPr>
        <w:t>Согласно решению об одностороннем отказе от исполнения контракта, п</w:t>
      </w:r>
      <w:r>
        <w:rPr>
          <w:rFonts w:cs="Times New Roman" w:ascii="Times New Roman" w:hAnsi="Times New Roman"/>
          <w:b w:val="false"/>
          <w:i w:val="false"/>
          <w:caps w:val="false"/>
          <w:smallCaps w:val="false"/>
          <w:strike w:val="false"/>
          <w:dstrike w:val="false"/>
          <w:color w:val="000000"/>
          <w:sz w:val="26"/>
          <w:szCs w:val="26"/>
          <w:u w:val="none"/>
        </w:rPr>
        <w:t>о состоянию на 12.08.2026г. выявленные несоответствия условиям Контракта Поставщиком нс устранены. Сумма невыполненных обязательств по контракту составляет 96 689,87 руб.</w:t>
      </w:r>
    </w:p>
    <w:p>
      <w:pPr>
        <w:pStyle w:val="Normal"/>
        <w:suppressAutoHyphens w:val="true"/>
        <w:bidi w:val="0"/>
        <w:spacing w:lineRule="auto" w:line="240"/>
        <w:ind w:firstLine="709"/>
        <w:jc w:val="both"/>
        <w:rPr/>
      </w:pPr>
      <w:r>
        <w:rPr>
          <w:rFonts w:cs="Times New Roman" w:ascii="Times New Roman" w:hAnsi="Times New Roman"/>
          <w:b w:val="false"/>
          <w:i w:val="false"/>
          <w:caps w:val="false"/>
          <w:smallCaps w:val="false"/>
          <w:strike w:val="false"/>
          <w:dstrike w:val="false"/>
          <w:color w:val="000000"/>
          <w:sz w:val="26"/>
          <w:szCs w:val="26"/>
          <w:u w:val="none"/>
        </w:rPr>
        <w:t xml:space="preserve">Согласно пункту 5.1 контракта поставка осуществляется по заявкам Заказчика в течение 2026 года; срок исполнения каждой заявки — не позднее 15 дней с даты её получения. </w:t>
      </w:r>
    </w:p>
    <w:p>
      <w:pPr>
        <w:pStyle w:val="Normal"/>
        <w:suppressAutoHyphens w:val="true"/>
        <w:bidi w:val="0"/>
        <w:spacing w:lineRule="auto" w:line="240"/>
        <w:ind w:firstLine="709"/>
        <w:jc w:val="both"/>
        <w:rPr/>
      </w:pPr>
      <w:r>
        <w:rPr>
          <w:rFonts w:cs="Times New Roman" w:ascii="Times New Roman" w:hAnsi="Times New Roman"/>
          <w:b w:val="false"/>
          <w:i w:val="false"/>
          <w:caps w:val="false"/>
          <w:smallCaps w:val="false"/>
          <w:strike w:val="false"/>
          <w:dstrike w:val="false"/>
          <w:color w:val="000000"/>
          <w:sz w:val="26"/>
          <w:szCs w:val="26"/>
          <w:u w:val="none"/>
        </w:rPr>
        <w:t xml:space="preserve">По спецификации к контракту основной объём поставки составляют 1 200 игл торгового знака HEYINOVO производства «Уилсон Инструментс (Шанхай) Ко., Лтд» (регистрационное удостоверение № РЗН 2013/360 от 18.03.2013) на сумму 5 195 616,00 руб., что составляет 98,1 % цены контракта, и 20 игл торгового знака OLYMPUS (регистрационное удостоверение № РЗН 2024/22514) на 100 962,66 руб., то есть 1,9 % цены контракта. </w:t>
      </w:r>
    </w:p>
    <w:p>
      <w:pPr>
        <w:pStyle w:val="Normal"/>
        <w:suppressAutoHyphens w:val="true"/>
        <w:bidi w:val="0"/>
        <w:spacing w:lineRule="auto" w:line="240"/>
        <w:ind w:firstLine="709"/>
        <w:jc w:val="both"/>
        <w:rPr/>
      </w:pPr>
      <w:r>
        <w:rPr>
          <w:rFonts w:cs="Times New Roman" w:ascii="Times New Roman" w:hAnsi="Times New Roman"/>
          <w:b w:val="false"/>
          <w:i w:val="false"/>
          <w:caps w:val="false"/>
          <w:smallCaps w:val="false"/>
          <w:strike w:val="false"/>
          <w:dstrike w:val="false"/>
          <w:color w:val="000000"/>
          <w:sz w:val="26"/>
          <w:szCs w:val="26"/>
          <w:u w:val="none"/>
        </w:rPr>
        <w:t xml:space="preserve">26.06.2026г. Заказчик направил заявку (заказ поставщику № 2066) на сумму 96 689,87 руб. со сроком поставки не позднее 14.07.2026г. </w:t>
      </w:r>
    </w:p>
    <w:p>
      <w:pPr>
        <w:pStyle w:val="Normal"/>
        <w:suppressAutoHyphens w:val="true"/>
        <w:bidi w:val="0"/>
        <w:spacing w:lineRule="auto" w:line="240"/>
        <w:ind w:firstLine="709"/>
        <w:jc w:val="both"/>
        <w:rPr/>
      </w:pPr>
      <w:r>
        <w:rPr>
          <w:rFonts w:cs="Times New Roman" w:ascii="Times New Roman" w:hAnsi="Times New Roman"/>
          <w:b w:val="false"/>
          <w:i w:val="false"/>
          <w:caps w:val="false"/>
          <w:smallCaps w:val="false"/>
          <w:strike w:val="false"/>
          <w:dstrike w:val="false"/>
          <w:color w:val="000000"/>
          <w:sz w:val="26"/>
          <w:szCs w:val="26"/>
          <w:u w:val="none"/>
        </w:rPr>
        <w:t xml:space="preserve">В заявку вошли четыре позиции: иглы Wilson артикулов WS-1816PN2504 и WS-2423PN2504 по 10 штук каждая (далее — Товар № 1-2) и иглы Olympus артикулов IN-O18-22-4-180 и IN-O23-22-4-230 по одной штуке (далее — Товар № 3-4). </w:t>
      </w:r>
    </w:p>
    <w:p>
      <w:pPr>
        <w:pStyle w:val="Normal"/>
        <w:suppressAutoHyphens w:val="true"/>
        <w:bidi w:val="0"/>
        <w:spacing w:lineRule="auto" w:line="240"/>
        <w:ind w:firstLine="709"/>
        <w:jc w:val="both"/>
        <w:rPr/>
      </w:pPr>
      <w:r>
        <w:rPr>
          <w:rFonts w:cs="Times New Roman" w:ascii="Times New Roman" w:hAnsi="Times New Roman"/>
          <w:b w:val="false"/>
          <w:i w:val="false"/>
          <w:caps w:val="false"/>
          <w:smallCaps w:val="false"/>
          <w:strike w:val="false"/>
          <w:dstrike w:val="false"/>
          <w:color w:val="000000"/>
          <w:sz w:val="26"/>
          <w:szCs w:val="26"/>
          <w:u w:val="none"/>
        </w:rPr>
        <w:t xml:space="preserve">Товар № 1-2 Поставщик отгрузил 07.07.2026г. строго в установленный срок, что подтверждается универсальным передаточным документом (№ 22 от 01.07.2026г.) на сумму 86 593,60 руб. При приёмке Заказчик, сославшись на письмо ООО «Олимпас Москва» (от 17.07.2026 № 517), составил акт об установленном расхождении по качеству (№ 4/26 от 27.07.2026) и мотивированный отказ от подписания документа о приёмке (№ 8/4 от 27.07.2026). Оба документа касаются Товара № 1-2. Причина отказа - отсутствие подтверждения совместимости поставленных игл с гибкими эндоскопами производства Olympus. </w:t>
      </w:r>
    </w:p>
    <w:p>
      <w:pPr>
        <w:pStyle w:val="Normal"/>
        <w:suppressAutoHyphens w:val="true"/>
        <w:bidi w:val="0"/>
        <w:spacing w:lineRule="auto" w:line="240"/>
        <w:ind w:firstLine="709"/>
        <w:jc w:val="both"/>
        <w:rPr>
          <w:rFonts w:ascii="Times New Roman" w:hAnsi="Times New Roman" w:cs="Times New Roman"/>
          <w:b w:val="false"/>
          <w:b w:val="false"/>
          <w:i w:val="false"/>
          <w:i w:val="false"/>
          <w:caps w:val="false"/>
          <w:smallCaps w:val="false"/>
          <w:strike w:val="false"/>
          <w:dstrike w:val="false"/>
          <w:color w:val="000000"/>
          <w:sz w:val="26"/>
          <w:szCs w:val="26"/>
          <w:u w:val="none"/>
        </w:rPr>
      </w:pPr>
      <w:r>
        <w:rPr>
          <w:rFonts w:cs="Times New Roman" w:ascii="Times New Roman" w:hAnsi="Times New Roman"/>
          <w:b w:val="false"/>
          <w:i w:val="false"/>
          <w:caps w:val="false"/>
          <w:smallCaps w:val="false"/>
          <w:strike w:val="false"/>
          <w:dstrike w:val="false"/>
          <w:color w:val="000000"/>
          <w:sz w:val="26"/>
          <w:szCs w:val="26"/>
          <w:u w:val="none"/>
        </w:rPr>
        <w:t xml:space="preserve">Товар № 3-4 является продукцией иностранного производителя Olympus. Поставщик заказал её у зарубежного поставщика сразу после подписания контракта — в период с 22 по 24 июня 2026 года. Из-за объективных сроков изготовления за рубежом, таможенного оформления и международной доставки медицинских изделий товар получен Поставщиком 19.08.2026г. и передан Заказчику 24.08.2026г. Просрочку по этой позиции Поставщик не оспаривает и подтверждает готовность уплатить соответствующую неустойку в порядке пункта 10.9 контракта. </w:t>
      </w:r>
    </w:p>
    <w:p>
      <w:pPr>
        <w:pStyle w:val="Normal"/>
        <w:suppressAutoHyphens w:val="true"/>
        <w:bidi w:val="0"/>
        <w:spacing w:lineRule="auto" w:line="240"/>
        <w:ind w:firstLine="709"/>
        <w:jc w:val="both"/>
        <w:rPr/>
      </w:pPr>
      <w:r>
        <w:rPr>
          <w:rFonts w:cs="Times New Roman" w:ascii="Times New Roman" w:hAnsi="Times New Roman"/>
          <w:b w:val="false"/>
          <w:i w:val="false"/>
          <w:caps w:val="false"/>
          <w:smallCaps w:val="false"/>
          <w:strike w:val="false"/>
          <w:dstrike w:val="false"/>
          <w:color w:val="000000"/>
          <w:sz w:val="26"/>
          <w:szCs w:val="26"/>
          <w:u w:val="none"/>
        </w:rPr>
        <w:t xml:space="preserve">12.08.2026г. Заказчик принял решение об одностороннем отказе от исполнения контракта № 619-01.2 по подпунктам 1, 2 и 7 пункта 7.13 контракта (несоответствие изделий требованиям контракта; нарушение по ассортименту, комплектности и качеству; нарушение срока поставки). Сумму невыполненных обязательств Заказчик определил в 96 689,87 руб. — полную стоимость единственной заявки № 2066. </w:t>
      </w:r>
    </w:p>
    <w:p>
      <w:pPr>
        <w:pStyle w:val="Style19"/>
        <w:tabs>
          <w:tab w:val="clear" w:pos="709"/>
          <w:tab w:val="left" w:pos="0" w:leader="none"/>
        </w:tabs>
        <w:bidi w:val="0"/>
        <w:spacing w:lineRule="auto" w:line="240" w:before="0" w:after="0"/>
        <w:ind w:firstLine="709"/>
        <w:jc w:val="both"/>
        <w:rPr>
          <w:sz w:val="26"/>
          <w:szCs w:val="26"/>
        </w:rPr>
      </w:pPr>
      <w:r>
        <w:rPr>
          <w:rFonts w:ascii="Times New Roman" w:hAnsi="Times New Roman"/>
          <w:b w:val="false"/>
          <w:i w:val="false"/>
          <w:caps w:val="false"/>
          <w:smallCaps w:val="false"/>
          <w:strike w:val="false"/>
          <w:dstrike w:val="false"/>
          <w:sz w:val="26"/>
          <w:szCs w:val="26"/>
          <w:u w:val="none"/>
        </w:rPr>
        <w:t>Исходя из изложенного, Комиссия делает вывод, что оснований для включения в реестр недобросовестных поставщиков ИП Шавлюк А.В. по указанному контракту отсутствуют.</w:t>
      </w:r>
    </w:p>
    <w:p>
      <w:pPr>
        <w:pStyle w:val="Normal"/>
        <w:bidi w:val="0"/>
        <w:spacing w:lineRule="auto" w:line="240"/>
        <w:ind w:start="0" w:end="0" w:firstLine="709"/>
        <w:jc w:val="both"/>
        <w:rPr>
          <w:rFonts w:ascii="Times New Roman" w:hAnsi="Times New Roman"/>
        </w:rPr>
      </w:pPr>
      <w:r>
        <w:rPr>
          <w:rFonts w:ascii="Times New Roman" w:hAnsi="Times New Roman"/>
          <w:color w:val="000000"/>
          <w:sz w:val="26"/>
          <w:szCs w:val="26"/>
          <w:lang w:bidi="ru-RU"/>
        </w:rPr>
        <w:t xml:space="preserve">В соответствии с ч. 2 ст.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 </w:t>
      </w:r>
    </w:p>
    <w:p>
      <w:pPr>
        <w:pStyle w:val="Normal"/>
        <w:bidi w:val="0"/>
        <w:spacing w:lineRule="auto" w:line="240"/>
        <w:ind w:start="0" w:end="0" w:firstLine="709"/>
        <w:jc w:val="both"/>
        <w:rPr>
          <w:rFonts w:ascii="Times New Roman" w:hAnsi="Times New Roman"/>
        </w:rPr>
      </w:pPr>
      <w:r>
        <w:rPr>
          <w:rFonts w:ascii="Times New Roman" w:hAnsi="Times New Roman"/>
          <w:color w:val="000000"/>
          <w:sz w:val="26"/>
          <w:szCs w:val="26"/>
          <w:lang w:bidi="ru-RU"/>
        </w:rPr>
        <w:t>Исходя из изложенного, руководствуясь ч. 2 ст. 104 Закона о контрактной системе, постановлением Правительства Российской Федерации от 30.06.2021г.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p>
    <w:p>
      <w:pPr>
        <w:pStyle w:val="Normal"/>
        <w:bidi w:val="0"/>
        <w:spacing w:lineRule="auto" w:line="240"/>
        <w:ind w:start="0" w:end="0" w:firstLine="709"/>
        <w:jc w:val="both"/>
        <w:rPr>
          <w:rFonts w:ascii="Times New Roman" w:hAnsi="Times New Roman"/>
        </w:rPr>
      </w:pPr>
      <w:r>
        <w:rPr>
          <w:rFonts w:ascii="Times New Roman" w:hAnsi="Times New Roman"/>
        </w:rPr>
      </w:r>
    </w:p>
    <w:p>
      <w:pPr>
        <w:pStyle w:val="Normal"/>
        <w:bidi w:val="0"/>
        <w:spacing w:lineRule="auto" w:line="240"/>
        <w:ind w:start="0" w:end="0" w:firstLine="709"/>
        <w:jc w:val="center"/>
        <w:rPr>
          <w:rFonts w:ascii="Times New Roman" w:hAnsi="Times New Roman"/>
        </w:rPr>
      </w:pPr>
      <w:r>
        <w:rPr>
          <w:rFonts w:ascii="Times New Roman" w:hAnsi="Times New Roman"/>
          <w:b/>
          <w:color w:val="000000"/>
          <w:sz w:val="26"/>
          <w:szCs w:val="26"/>
        </w:rPr>
        <w:t>РЕШИЛА:</w:t>
      </w:r>
    </w:p>
    <w:p>
      <w:pPr>
        <w:pStyle w:val="Normal"/>
        <w:bidi w:val="0"/>
        <w:spacing w:lineRule="auto" w:line="240"/>
        <w:ind w:start="0" w:end="0" w:firstLine="709"/>
        <w:jc w:val="center"/>
        <w:rPr>
          <w:rFonts w:ascii="Times New Roman" w:hAnsi="Times New Roman"/>
        </w:rPr>
      </w:pPr>
      <w:r>
        <w:rPr>
          <w:rFonts w:ascii="Times New Roman" w:hAnsi="Times New Roman"/>
        </w:rPr>
      </w:r>
    </w:p>
    <w:p>
      <w:pPr>
        <w:pStyle w:val="ListParagraph"/>
        <w:numPr>
          <w:ilvl w:val="0"/>
          <w:numId w:val="1"/>
        </w:numPr>
        <w:tabs>
          <w:tab w:val="clear" w:pos="709"/>
          <w:tab w:val="left" w:pos="3022" w:leader="none"/>
          <w:tab w:val="left" w:pos="13086" w:leader="none"/>
        </w:tabs>
        <w:bidi w:val="0"/>
        <w:spacing w:lineRule="auto" w:line="240"/>
        <w:jc w:val="both"/>
        <w:rPr>
          <w:color w:val="000000" w:themeColor="text1"/>
          <w:sz w:val="25"/>
          <w:szCs w:val="25"/>
        </w:rPr>
      </w:pPr>
      <w:r>
        <w:rPr>
          <w:rFonts w:ascii="Times New Roman" w:hAnsi="Times New Roman"/>
          <w:color w:val="000000"/>
          <w:sz w:val="25"/>
          <w:szCs w:val="25"/>
        </w:rPr>
        <w:t>Сведения, представленные ГБУЗ «НИИ-ККБ №1 имени профессора С.В. Очаповского» МЗ КК</w:t>
      </w:r>
      <w:r>
        <w:rPr>
          <w:rFonts w:ascii="Times New Roman" w:hAnsi="Times New Roman"/>
          <w:color w:val="000000" w:themeColor="text1"/>
          <w:sz w:val="25"/>
          <w:szCs w:val="25"/>
        </w:rPr>
        <w:t xml:space="preserve"> </w:t>
      </w:r>
      <w:r>
        <w:rPr>
          <w:rFonts w:ascii="Times New Roman" w:hAnsi="Times New Roman"/>
          <w:color w:val="000000"/>
          <w:sz w:val="25"/>
          <w:szCs w:val="25"/>
        </w:rPr>
        <w:t>в отношении ИП Шавлюк А.В.,</w:t>
      </w:r>
      <w:r>
        <w:rPr>
          <w:rStyle w:val="Sectioninfo"/>
          <w:rFonts w:ascii="Times New Roman" w:hAnsi="Times New Roman"/>
          <w:color w:val="000000" w:themeColor="text1"/>
          <w:sz w:val="25"/>
          <w:szCs w:val="25"/>
        </w:rPr>
        <w:t xml:space="preserve"> </w:t>
      </w:r>
      <w:r>
        <w:rPr>
          <w:rFonts w:ascii="Times New Roman" w:hAnsi="Times New Roman"/>
          <w:color w:val="000000" w:themeColor="text1"/>
          <w:sz w:val="25"/>
          <w:szCs w:val="25"/>
          <w:lang w:bidi="ru-RU"/>
        </w:rPr>
        <w:t>н</w:t>
      </w:r>
      <w:r>
        <w:rPr>
          <w:rFonts w:ascii="Times New Roman" w:hAnsi="Times New Roman"/>
          <w:color w:val="000000"/>
          <w:sz w:val="25"/>
          <w:szCs w:val="25"/>
        </w:rPr>
        <w:t>е включать в реестр недобросовестных поставщиков.</w:t>
      </w:r>
    </w:p>
    <w:p>
      <w:pPr>
        <w:pStyle w:val="Normal"/>
        <w:tabs>
          <w:tab w:val="clear" w:pos="709"/>
          <w:tab w:val="left" w:pos="-567" w:leader="none"/>
        </w:tabs>
        <w:bidi w:val="0"/>
        <w:spacing w:lineRule="auto" w:line="240"/>
        <w:jc w:val="both"/>
        <w:rPr>
          <w:rFonts w:ascii="Times New Roman" w:hAnsi="Times New Roman"/>
        </w:rPr>
      </w:pPr>
      <w:r>
        <w:rPr>
          <w:rFonts w:ascii="Times New Roman" w:hAnsi="Times New Roman"/>
          <w:color w:val="000000"/>
          <w:sz w:val="26"/>
          <w:szCs w:val="26"/>
        </w:rPr>
        <w:tab/>
        <w:t>Настоящее Решение может быть обжаловано в судебном порядке в течение трех месяцев со дня его принятия.</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Times New Roman">
    <w:charset w:val="cc" w:characterSet="windows-1251"/>
    <w:family w:val="roman"/>
    <w:pitch w:val="variable"/>
  </w:font>
  <w:font w:name="Liberation Sans">
    <w:altName w:val="Arial"/>
    <w:charset w:val="cc" w:characterSet="windows-1251"/>
    <w:family w:val="roman"/>
    <w:pitch w:val="variable"/>
  </w:font>
  <w:font w:name="Calibri">
    <w:charset w:val="cc" w:characterSet="windows-125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1789" w:hanging="1080"/>
      </w:pPr>
    </w:lvl>
    <w:lvl w:ilvl="1">
      <w:start w:val="1"/>
      <w:numFmt w:val="lowerLetter"/>
      <w:lvlText w:val="%2."/>
      <w:lvlJc w:val="start"/>
      <w:pPr>
        <w:tabs>
          <w:tab w:val="num" w:pos="0"/>
        </w:tabs>
        <w:ind w:start="1789" w:hanging="360"/>
      </w:pPr>
    </w:lvl>
    <w:lvl w:ilvl="2">
      <w:start w:val="1"/>
      <w:numFmt w:val="lowerRoman"/>
      <w:lvlText w:val="%3."/>
      <w:lvlJc w:val="end"/>
      <w:pPr>
        <w:tabs>
          <w:tab w:val="num" w:pos="0"/>
        </w:tabs>
        <w:ind w:start="2509" w:hanging="180"/>
      </w:pPr>
    </w:lvl>
    <w:lvl w:ilvl="3">
      <w:start w:val="1"/>
      <w:numFmt w:val="decimal"/>
      <w:lvlText w:val="%4."/>
      <w:lvlJc w:val="start"/>
      <w:pPr>
        <w:tabs>
          <w:tab w:val="num" w:pos="0"/>
        </w:tabs>
        <w:ind w:start="3229" w:hanging="360"/>
      </w:pPr>
    </w:lvl>
    <w:lvl w:ilvl="4">
      <w:start w:val="1"/>
      <w:numFmt w:val="lowerLetter"/>
      <w:lvlText w:val="%5."/>
      <w:lvlJc w:val="start"/>
      <w:pPr>
        <w:tabs>
          <w:tab w:val="num" w:pos="0"/>
        </w:tabs>
        <w:ind w:start="3949" w:hanging="360"/>
      </w:pPr>
    </w:lvl>
    <w:lvl w:ilvl="5">
      <w:start w:val="1"/>
      <w:numFmt w:val="lowerRoman"/>
      <w:lvlText w:val="%6."/>
      <w:lvlJc w:val="end"/>
      <w:pPr>
        <w:tabs>
          <w:tab w:val="num" w:pos="0"/>
        </w:tabs>
        <w:ind w:start="4669" w:hanging="180"/>
      </w:pPr>
    </w:lvl>
    <w:lvl w:ilvl="6">
      <w:start w:val="1"/>
      <w:numFmt w:val="decimal"/>
      <w:lvlText w:val="%7."/>
      <w:lvlJc w:val="start"/>
      <w:pPr>
        <w:tabs>
          <w:tab w:val="num" w:pos="0"/>
        </w:tabs>
        <w:ind w:start="5389" w:hanging="360"/>
      </w:pPr>
    </w:lvl>
    <w:lvl w:ilvl="7">
      <w:start w:val="1"/>
      <w:numFmt w:val="lowerLetter"/>
      <w:lvlText w:val="%8."/>
      <w:lvlJc w:val="start"/>
      <w:pPr>
        <w:tabs>
          <w:tab w:val="num" w:pos="0"/>
        </w:tabs>
        <w:ind w:start="6109" w:hanging="360"/>
      </w:pPr>
    </w:lvl>
    <w:lvl w:ilvl="8">
      <w:start w:val="1"/>
      <w:numFmt w:val="lowerRoman"/>
      <w:lvlText w:val="%9."/>
      <w:lvlJc w:val="end"/>
      <w:pPr>
        <w:tabs>
          <w:tab w:val="num" w:pos="0"/>
        </w:tabs>
        <w:ind w:start="6829" w:hanging="180"/>
      </w:p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ru-RU"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start"/>
    </w:pPr>
    <w:rPr>
      <w:rFonts w:ascii="Liberation Serif" w:hAnsi="Liberation Serif" w:eastAsia="NSimSun" w:cs="Arial"/>
      <w:color w:val="auto"/>
      <w:kern w:val="2"/>
      <w:sz w:val="24"/>
      <w:szCs w:val="24"/>
      <w:lang w:val="ru-RU" w:eastAsia="zh-CN" w:bidi="hi-IN"/>
    </w:rPr>
  </w:style>
  <w:style w:type="character" w:styleId="ConsPlusNormal">
    <w:name w:val="ConsPlusNormal Знак"/>
    <w:qFormat/>
    <w:rPr>
      <w:rFonts w:ascii="Times New Roman" w:hAnsi="Times New Roman" w:cs="Times New Roman"/>
      <w:sz w:val="26"/>
      <w:szCs w:val="26"/>
    </w:rPr>
  </w:style>
  <w:style w:type="character" w:styleId="DefaultParagraphFont">
    <w:name w:val="Default Paragraph Font"/>
    <w:qFormat/>
    <w:rPr/>
  </w:style>
  <w:style w:type="character" w:styleId="Sectioninfo">
    <w:name w:val="section__info"/>
    <w:basedOn w:val="DefaultParagraphFont"/>
    <w:qFormat/>
    <w:rPr/>
  </w:style>
  <w:style w:type="paragraph" w:styleId="Style14">
    <w:name w:val="Заголовок"/>
    <w:basedOn w:val="Normal"/>
    <w:next w:val="Style15"/>
    <w:qFormat/>
    <w:pPr>
      <w:keepNext w:val="true"/>
      <w:spacing w:before="240" w:after="120"/>
    </w:pPr>
    <w:rPr>
      <w:rFonts w:ascii="Liberation Sans" w:hAnsi="Liberation Sans" w:eastAsia="Microsoft YaHei" w:cs="Arial"/>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Arial"/>
    </w:rPr>
  </w:style>
  <w:style w:type="paragraph" w:styleId="Style17">
    <w:name w:val="Caption"/>
    <w:basedOn w:val="Normal"/>
    <w:qFormat/>
    <w:pPr>
      <w:suppressLineNumbers/>
      <w:spacing w:before="120" w:after="120"/>
    </w:pPr>
    <w:rPr>
      <w:rFonts w:cs="Arial"/>
      <w:i/>
      <w:iCs/>
      <w:sz w:val="24"/>
      <w:szCs w:val="24"/>
    </w:rPr>
  </w:style>
  <w:style w:type="paragraph" w:styleId="Style18">
    <w:name w:val="Указатель"/>
    <w:basedOn w:val="Normal"/>
    <w:qFormat/>
    <w:pPr>
      <w:suppressLineNumbers/>
    </w:pPr>
    <w:rPr>
      <w:rFonts w:cs="Arial"/>
      <w:lang w:val="zxx" w:eastAsia="zxx" w:bidi="zxx"/>
    </w:rPr>
  </w:style>
  <w:style w:type="paragraph" w:styleId="1">
    <w:name w:val="Основной текст1"/>
    <w:basedOn w:val="Normal"/>
    <w:qFormat/>
    <w:pPr>
      <w:widowControl w:val="false"/>
      <w:shd w:fill="FFFFFF"/>
      <w:spacing w:lineRule="exact" w:line="269"/>
      <w:jc w:val="center"/>
    </w:pPr>
    <w:rPr>
      <w:color w:val="000000"/>
      <w:sz w:val="26"/>
      <w:szCs w:val="26"/>
      <w:lang w:bidi="ru-RU"/>
    </w:rPr>
  </w:style>
  <w:style w:type="paragraph" w:styleId="2">
    <w:name w:val="Основной текст2"/>
    <w:basedOn w:val="Normal"/>
    <w:qFormat/>
    <w:pPr>
      <w:widowControl w:val="false"/>
      <w:shd w:fill="FFFFFF"/>
      <w:spacing w:lineRule="atLeast" w:line="0"/>
      <w:ind w:hanging="360"/>
      <w:jc w:val="end"/>
    </w:pPr>
    <w:rPr>
      <w:rFonts w:ascii="Calibri" w:hAnsi="Calibri" w:eastAsia="Calibri"/>
      <w:sz w:val="25"/>
      <w:szCs w:val="25"/>
      <w:lang w:eastAsia="en-US"/>
    </w:rPr>
  </w:style>
  <w:style w:type="paragraph" w:styleId="Style19">
    <w:name w:val="Body Text Indent"/>
    <w:basedOn w:val="Style15"/>
    <w:pPr/>
    <w:rPr/>
  </w:style>
  <w:style w:type="paragraph" w:styleId="ListParagraph">
    <w:name w:val="List Paragraph"/>
    <w:basedOn w:val="Normal"/>
    <w:qFormat/>
    <w:pPr>
      <w:spacing w:before="0" w:after="0"/>
      <w:ind w:start="720" w:hanging="0"/>
      <w:contextualSpacing/>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23</TotalTime>
  <Application>LibreOffice/7.2.5.2$Windows_X86_64 LibreOffice_project/499f9727c189e6ef3471021d6132d4c694f357e5</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2026-09-04T14:23:50Z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file>