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jc w:val="center"/>
        <w:rPr>
          <w:rFonts w:ascii="Times New Roman" w:hAnsi="Times New Roman"/>
          <w:sz w:val="26"/>
          <w:szCs w:val="26"/>
        </w:rPr>
      </w:pPr>
      <w:r>
        <w:rPr>
          <w:rFonts w:ascii="Times New Roman" w:hAnsi="Times New Roman"/>
          <w:sz w:val="26"/>
          <w:szCs w:val="26"/>
        </w:rPr>
        <w:t>РЕШЕНИЕ</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РНП – 23-778/2026</w:t>
      </w:r>
    </w:p>
    <w:p>
      <w:pPr>
        <w:pStyle w:val="Normal"/>
        <w:bidi w:val="0"/>
        <w:spacing w:lineRule="auto" w:line="240"/>
        <w:ind w:start="0" w:end="0" w:firstLine="284"/>
        <w:jc w:val="center"/>
        <w:rPr/>
      </w:pPr>
      <w:r>
        <w:rPr>
          <w:rFonts w:ascii="Times New Roman" w:hAnsi="Times New Roman"/>
          <w:sz w:val="26"/>
          <w:szCs w:val="26"/>
          <w:shd w:fill="auto" w:val="clear"/>
        </w:rPr>
        <w:t xml:space="preserve">по делу № </w:t>
      </w:r>
      <w:r>
        <w:rPr>
          <w:rStyle w:val="ConsPlusNormal"/>
          <w:rFonts w:eastAsia="0" w:ascii="Times New Roman" w:hAnsi="Times New Roman"/>
          <w:color w:val="000000"/>
          <w:sz w:val="26"/>
          <w:szCs w:val="26"/>
          <w:shd w:fill="auto" w:val="clear"/>
        </w:rPr>
        <w:t>023/06/104-4269/2026</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о проведении внеплановой проверки по рассмотрению факта уклонения</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t>участника закупки от заключения контракта</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r>
    </w:p>
    <w:p>
      <w:pPr>
        <w:pStyle w:val="Normal"/>
        <w:bidi w:val="0"/>
        <w:spacing w:lineRule="auto" w:line="240"/>
        <w:jc w:val="both"/>
        <w:rPr>
          <w:rFonts w:ascii="Times New Roman" w:hAnsi="Times New Roman"/>
          <w:sz w:val="26"/>
          <w:szCs w:val="26"/>
        </w:rPr>
      </w:pPr>
      <w:r>
        <w:rPr>
          <w:rFonts w:ascii="Times New Roman" w:hAnsi="Times New Roman"/>
          <w:sz w:val="26"/>
          <w:szCs w:val="26"/>
        </w:rPr>
        <w:t>14 сентября 2026 года                                                                                         г. Краснодар</w:t>
      </w:r>
    </w:p>
    <w:p>
      <w:pPr>
        <w:pStyle w:val="Normal"/>
        <w:bidi w:val="0"/>
        <w:spacing w:lineRule="auto" w:line="240"/>
        <w:ind w:start="0" w:end="0" w:firstLine="284"/>
        <w:jc w:val="both"/>
        <w:rPr>
          <w:rFonts w:ascii="Times New Roman" w:hAnsi="Times New Roman"/>
          <w:sz w:val="26"/>
          <w:szCs w:val="26"/>
        </w:rPr>
      </w:pPr>
      <w:r>
        <w:rPr>
          <w:rFonts w:ascii="Times New Roman" w:hAnsi="Times New Roman"/>
          <w:sz w:val="26"/>
          <w:szCs w:val="26"/>
        </w:rPr>
      </w:r>
    </w:p>
    <w:p>
      <w:pPr>
        <w:pStyle w:val="Normal"/>
        <w:widowControl w:val="false"/>
        <w:suppressAutoHyphens w:val="true"/>
        <w:bidi w:val="0"/>
        <w:spacing w:lineRule="auto" w:line="240" w:before="0" w:after="0"/>
        <w:ind w:start="0" w:end="0" w:firstLine="737"/>
        <w:jc w:val="both"/>
        <w:rPr>
          <w:rFonts w:ascii="Times New Roman" w:hAnsi="Times New Roman"/>
          <w:sz w:val="26"/>
          <w:szCs w:val="26"/>
        </w:rPr>
      </w:pPr>
      <w:r>
        <w:rPr>
          <w:rFonts w:ascii="Times New Roman" w:hAnsi="Times New Roman"/>
          <w:color w:val="000000"/>
          <w:sz w:val="26"/>
          <w:szCs w:val="26"/>
        </w:rPr>
        <w:t>рассмотрев сведения, представленные ОСФР по КК о включении в реестр недобросовестных поставщиков (подрядчиков, исполнителей) ООО «Солнечный ветер» при проведении электронного аукциона: «Поставка телефонных устройств с функцией видеосвязи, навигации и с текстовым выходом (приобретение товаров в пользу граждан в целях их социального обеспечения)» (извещение № 0218100003226000160),</w:t>
      </w:r>
    </w:p>
    <w:p>
      <w:pPr>
        <w:pStyle w:val="Normal"/>
        <w:widowControl w:val="false"/>
        <w:suppressAutoHyphens w:val="true"/>
        <w:bidi w:val="0"/>
        <w:spacing w:lineRule="auto" w:line="240" w:before="0" w:after="0"/>
        <w:ind w:start="0" w:end="0" w:firstLine="737"/>
        <w:jc w:val="both"/>
        <w:rPr>
          <w:rFonts w:ascii="Times New Roman" w:hAnsi="Times New Roman"/>
          <w:sz w:val="26"/>
          <w:szCs w:val="26"/>
        </w:rPr>
      </w:pPr>
      <w:r>
        <w:rPr>
          <w:rFonts w:ascii="Times New Roman" w:hAnsi="Times New Roman"/>
          <w:sz w:val="26"/>
          <w:szCs w:val="26"/>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УСТАНОВИЛА:</w:t>
      </w:r>
    </w:p>
    <w:p>
      <w:pPr>
        <w:pStyle w:val="Normal"/>
        <w:bidi w:val="0"/>
        <w:spacing w:lineRule="auto" w:line="240"/>
        <w:ind w:start="0" w:end="0" w:firstLine="709"/>
        <w:jc w:val="center"/>
        <w:rPr>
          <w:rFonts w:ascii="Times New Roman" w:hAnsi="Times New Roman"/>
        </w:rPr>
      </w:pPr>
      <w:r>
        <w:rPr>
          <w:rFonts w:ascii="Times New Roman" w:hAnsi="Times New Roman"/>
        </w:rPr>
      </w:r>
    </w:p>
    <w:p>
      <w:pPr>
        <w:pStyle w:val="Normal"/>
        <w:bidi w:val="0"/>
        <w:spacing w:lineRule="auto" w:line="240"/>
        <w:ind w:start="0" w:end="0" w:firstLine="709"/>
        <w:jc w:val="both"/>
        <w:rPr>
          <w:sz w:val="26"/>
          <w:szCs w:val="26"/>
        </w:rPr>
      </w:pPr>
      <w:r>
        <w:rPr>
          <w:rFonts w:ascii="Times New Roman" w:hAnsi="Times New Roman"/>
          <w:color w:val="000000"/>
          <w:sz w:val="26"/>
          <w:szCs w:val="26"/>
        </w:rPr>
        <w:t>В Управление Федеральной антимонопольной службы по Краснодарскому краю поступили сведения ОСФР по КК (далее – Заказчик) о включении в реестр недобросовестных поставщиков (подрядчиков, исполнителей) ООО «Солнечный ветер» при проведении электронного аукциона: «Поставка телефонных устройств с функцией видеосвязи, навигации и с текстовым выходом (приобретение товаров в пользу граждан в целях их социального обеспечения)» (извещение № 0218100003226000160).</w:t>
      </w:r>
    </w:p>
    <w:p>
      <w:pPr>
        <w:pStyle w:val="Normal"/>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08.09.2026г. Заказчиком принято решение о признании ООО «Солнечный ветер»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shd w:fill="FFFFFF"/>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spacing w:lineRule="auto" w:line="240"/>
        <w:ind w:start="0" w:end="0" w:firstLine="709"/>
        <w:jc w:val="both"/>
        <w:rPr>
          <w:sz w:val="26"/>
          <w:szCs w:val="26"/>
        </w:rPr>
      </w:pPr>
      <w:r>
        <w:rPr>
          <w:rFonts w:ascii="Times New Roman" w:hAnsi="Times New Roman"/>
          <w:color w:val="000000"/>
          <w:sz w:val="26"/>
          <w:szCs w:val="26"/>
        </w:rPr>
        <w:t>Заказчиком – ОСФР по КК проведен электронный аукцион: «Поставка телефонных устройств с функцией видеосвязи, навигации и с текстовым выходом (приобретение товаров в пользу граждан в целях их социального обеспечения)» (извещение № 0218100003226000160). НМЦК 33 293 322,25 рублей.</w:t>
      </w:r>
    </w:p>
    <w:p>
      <w:pPr>
        <w:pStyle w:val="Normal"/>
        <w:bidi w:val="0"/>
        <w:spacing w:lineRule="auto" w:line="240"/>
        <w:ind w:start="0" w:end="-1" w:firstLine="709"/>
        <w:jc w:val="both"/>
        <w:rPr>
          <w:sz w:val="26"/>
          <w:szCs w:val="26"/>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27.08.2026 победителем признано ООО «Солнечный ветер».</w:t>
      </w:r>
    </w:p>
    <w:p>
      <w:pPr>
        <w:pStyle w:val="Normal"/>
        <w:bidi w:val="0"/>
        <w:spacing w:lineRule="auto" w:line="240"/>
        <w:ind w:start="0" w:end="-1" w:firstLine="709"/>
        <w:jc w:val="both"/>
        <w:rPr>
          <w:sz w:val="26"/>
          <w:szCs w:val="26"/>
        </w:rPr>
      </w:pPr>
      <w:r>
        <w:rPr>
          <w:rFonts w:ascii="Times New Roman" w:hAnsi="Times New Roman"/>
          <w:color w:val="000000"/>
          <w:sz w:val="26"/>
          <w:szCs w:val="26"/>
        </w:rPr>
        <w:t>В силу пункта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pPr>
        <w:pStyle w:val="Normal"/>
        <w:bidi w:val="0"/>
        <w:spacing w:lineRule="auto" w:line="240"/>
        <w:ind w:start="0" w:end="-1" w:firstLine="709"/>
        <w:jc w:val="both"/>
        <w:rPr>
          <w:sz w:val="26"/>
          <w:szCs w:val="26"/>
        </w:rPr>
      </w:pPr>
      <w:r>
        <w:rPr>
          <w:rFonts w:ascii="Times New Roman" w:hAnsi="Times New Roman"/>
          <w:color w:val="000000"/>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pPr>
        <w:pStyle w:val="Normal"/>
        <w:bidi w:val="0"/>
        <w:spacing w:lineRule="auto" w:line="240"/>
        <w:ind w:start="0" w:end="-1" w:firstLine="709"/>
        <w:jc w:val="both"/>
        <w:rPr>
          <w:sz w:val="26"/>
          <w:szCs w:val="26"/>
        </w:rPr>
      </w:pPr>
      <w:r>
        <w:rPr>
          <w:rFonts w:ascii="Times New Roman" w:hAnsi="Times New Roman"/>
          <w:color w:val="000000"/>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pPr>
        <w:pStyle w:val="Normal"/>
        <w:bidi w:val="0"/>
        <w:spacing w:lineRule="auto" w:line="240"/>
        <w:ind w:start="0" w:end="-1" w:firstLine="709"/>
        <w:jc w:val="both"/>
        <w:rPr>
          <w:sz w:val="26"/>
          <w:szCs w:val="26"/>
        </w:rPr>
      </w:pPr>
      <w:r>
        <w:rPr>
          <w:rFonts w:ascii="Times New Roman" w:hAnsi="Times New Roman"/>
          <w:color w:val="000000"/>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pPr>
        <w:pStyle w:val="Normal"/>
        <w:bidi w:val="0"/>
        <w:spacing w:lineRule="auto" w:line="240"/>
        <w:ind w:start="0" w:end="-1" w:firstLine="709"/>
        <w:jc w:val="both"/>
        <w:rPr>
          <w:sz w:val="26"/>
          <w:szCs w:val="26"/>
        </w:rPr>
      </w:pPr>
      <w:r>
        <w:rPr>
          <w:rFonts w:ascii="Times New Roman" w:hAnsi="Times New Roman"/>
          <w:color w:val="000000"/>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pPr>
        <w:pStyle w:val="Normal"/>
        <w:bidi w:val="0"/>
        <w:spacing w:lineRule="auto" w:line="240"/>
        <w:ind w:start="0" w:end="-1" w:firstLine="709"/>
        <w:jc w:val="both"/>
        <w:rPr>
          <w:sz w:val="26"/>
          <w:szCs w:val="26"/>
        </w:rPr>
      </w:pPr>
      <w:r>
        <w:rPr>
          <w:rFonts w:ascii="Times New Roman" w:hAnsi="Times New Roman"/>
          <w:color w:val="000000"/>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pPr>
        <w:pStyle w:val="Normal"/>
        <w:bidi w:val="0"/>
        <w:spacing w:lineRule="auto" w:line="240"/>
        <w:ind w:start="0" w:end="-1" w:firstLine="709"/>
        <w:jc w:val="both"/>
        <w:rPr>
          <w:sz w:val="26"/>
          <w:szCs w:val="26"/>
        </w:rPr>
      </w:pPr>
      <w:r>
        <w:rPr>
          <w:rFonts w:ascii="Times New Roman" w:hAnsi="Times New Roman"/>
          <w:color w:val="000000"/>
          <w:sz w:val="26"/>
          <w:szCs w:val="26"/>
        </w:rPr>
        <w:t>б) несогласие заключить контракт, содержащий условия, предусмотренные пунктом 2 части 2 настоящей статьи;</w:t>
      </w:r>
    </w:p>
    <w:p>
      <w:pPr>
        <w:pStyle w:val="Normal"/>
        <w:bidi w:val="0"/>
        <w:spacing w:lineRule="auto" w:line="240"/>
        <w:ind w:start="0" w:end="-1" w:firstLine="709"/>
        <w:jc w:val="both"/>
        <w:rPr>
          <w:sz w:val="26"/>
          <w:szCs w:val="26"/>
        </w:rPr>
      </w:pPr>
      <w:r>
        <w:rPr>
          <w:rFonts w:ascii="Times New Roman" w:hAnsi="Times New Roman"/>
          <w:color w:val="000000"/>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1) такой участник закупки считается уклонившимся от заключения контракта;</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spacing w:lineRule="auto" w:line="240"/>
        <w:ind w:start="0" w:end="0" w:firstLine="709"/>
        <w:jc w:val="both"/>
        <w:rPr>
          <w:sz w:val="26"/>
          <w:szCs w:val="26"/>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spacing w:lineRule="auto" w:line="240"/>
        <w:ind w:start="0" w:end="0" w:firstLine="709"/>
        <w:jc w:val="both"/>
        <w:rPr>
          <w:sz w:val="26"/>
          <w:szCs w:val="26"/>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spacing w:lineRule="auto" w:line="240"/>
        <w:ind w:start="0" w:end="0" w:firstLine="709"/>
        <w:jc w:val="both"/>
        <w:rPr>
          <w:sz w:val="26"/>
          <w:szCs w:val="26"/>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08.09.2026 заказчиком размещен протокол признания победителя уклонившимся от заключения контракта в связи с тем, что победитель не подписал и не разместил в ЕИС проект контракта, а также не предоставил документ, подтверждающий предоставление обеспечения исполнения контракта.</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Согласно ч. 9 ст. 37 Закона о контрактной системе,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Согласно пояснениям представителя ООО «Солнечный ветер», Участник не имел умысла на уклонение от заключения Контракта, данное обстоятельство произошло ввиду человеческого фактора.</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Поставщик отмечает, что Контракт подписан в установленный срок, но Участник не предоставил обеспечение исполнения Контракта в связи c ошибкой, допущенной тендерным специалистом, на которого была возложена ответственность за участие в настоящей закупке: подписание проекта контракта, предоставление необходимой документации. </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Специалист, ввиду значительного объема выполняемой работы не обеспечил соблюдение сроков и 07.09.2026г. направил заявки в банк на выпуск независимых гарантий, что повлекло несвоевременное предоставление обеспечения исполнения Контракта. </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Как следует из объяснений, полученных от тендерного специалиста, 07.09.2026  направлены заявки в ПАО «Сбербанк» с целью получения независимой гарантии. </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В рассматриваемом случае оформление независимых гарантий заняло больше времени, в результате чего к моменту подписания проектов Контрактов готовые банковские гарантии отсутствовали. </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Кроме того, специалистом по невнимательности не была подана заявка по рассматриваемому Контракту. </w:t>
      </w:r>
    </w:p>
    <w:p>
      <w:pPr>
        <w:pStyle w:val="Style19"/>
        <w:tabs>
          <w:tab w:val="clear" w:pos="709"/>
          <w:tab w:val="left" w:pos="0" w:leader="none"/>
        </w:tabs>
        <w:bidi w:val="0"/>
        <w:spacing w:lineRule="auto" w:line="240"/>
        <w:ind w:start="0" w:end="0" w:firstLine="709"/>
        <w:jc w:val="both"/>
        <w:rPr>
          <w:sz w:val="26"/>
          <w:szCs w:val="26"/>
        </w:rPr>
      </w:pPr>
      <w:r>
        <w:rPr>
          <w:rFonts w:ascii="Times New Roman" w:hAnsi="Times New Roman"/>
          <w:color w:val="000000"/>
          <w:sz w:val="26"/>
          <w:szCs w:val="26"/>
        </w:rPr>
        <w:t xml:space="preserve">Дополнительно ООО «Солнечный ветер» отметил, что Участник в оперативном порядке предпринимает действия по получению независимой гарантии. </w:t>
      </w:r>
    </w:p>
    <w:p>
      <w:pPr>
        <w:pStyle w:val="Style19"/>
        <w:tabs>
          <w:tab w:val="clear" w:pos="709"/>
          <w:tab w:val="left" w:pos="0" w:leader="none"/>
        </w:tabs>
        <w:bidi w:val="0"/>
        <w:spacing w:lineRule="auto" w:line="240"/>
        <w:ind w:firstLine="709"/>
        <w:jc w:val="both"/>
        <w:rPr>
          <w:sz w:val="26"/>
          <w:szCs w:val="26"/>
        </w:rPr>
      </w:pPr>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pPr>
        <w:pStyle w:val="Normal"/>
        <w:bidi w:val="0"/>
        <w:spacing w:lineRule="auto" w:line="240"/>
        <w:ind w:start="0" w:end="0" w:firstLine="708"/>
        <w:jc w:val="both"/>
        <w:rPr>
          <w:sz w:val="26"/>
          <w:szCs w:val="26"/>
        </w:rPr>
      </w:pPr>
      <w:r>
        <w:rPr>
          <w:rFonts w:ascii="Times New Roman" w:hAnsi="Times New Roman"/>
          <w:color w:val="000000"/>
          <w:sz w:val="26"/>
          <w:szCs w:val="26"/>
          <w:lang w:bidi="ru-RU"/>
        </w:rPr>
        <w:t xml:space="preserve">На основании изложенного, с учетом обстоятельств дела, Комиссия не усматривает в действиях ООО «Солнечный ветер» факт намеренного уклонения от заключения контракта. </w:t>
      </w:r>
    </w:p>
    <w:p>
      <w:pPr>
        <w:pStyle w:val="Normal"/>
        <w:bidi w:val="0"/>
        <w:spacing w:lineRule="auto" w:line="240"/>
        <w:ind w:start="0" w:end="0" w:firstLine="709"/>
        <w:jc w:val="both"/>
        <w:rPr>
          <w:sz w:val="26"/>
          <w:szCs w:val="26"/>
        </w:rPr>
      </w:pPr>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bidi w:val="0"/>
        <w:spacing w:lineRule="auto" w:line="240"/>
        <w:ind w:start="0" w:end="0" w:firstLine="709"/>
        <w:jc w:val="both"/>
        <w:rPr>
          <w:sz w:val="26"/>
          <w:szCs w:val="26"/>
        </w:rPr>
      </w:pPr>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bidi w:val="0"/>
        <w:spacing w:lineRule="auto" w:line="240"/>
        <w:ind w:start="0" w:end="0" w:firstLine="709"/>
        <w:jc w:val="both"/>
        <w:rPr>
          <w:sz w:val="26"/>
          <w:szCs w:val="26"/>
        </w:rPr>
      </w:pPr>
      <w:r>
        <w:rPr>
          <w:sz w:val="26"/>
          <w:szCs w:val="26"/>
        </w:rPr>
      </w:r>
    </w:p>
    <w:p>
      <w:pPr>
        <w:pStyle w:val="Normal"/>
        <w:bidi w:val="0"/>
        <w:spacing w:lineRule="auto" w:line="240"/>
        <w:ind w:start="0" w:end="0" w:firstLine="709"/>
        <w:jc w:val="center"/>
        <w:rPr>
          <w:sz w:val="26"/>
          <w:szCs w:val="26"/>
        </w:rPr>
      </w:pPr>
      <w:r>
        <w:rPr>
          <w:rFonts w:ascii="Times New Roman" w:hAnsi="Times New Roman"/>
          <w:b/>
          <w:color w:val="000000"/>
          <w:sz w:val="26"/>
          <w:szCs w:val="26"/>
        </w:rPr>
        <w:t>РЕШИЛА:</w:t>
      </w:r>
    </w:p>
    <w:p>
      <w:pPr>
        <w:pStyle w:val="Normal"/>
        <w:bidi w:val="0"/>
        <w:spacing w:lineRule="auto" w:line="240"/>
        <w:ind w:start="0" w:end="0" w:firstLine="709"/>
        <w:jc w:val="center"/>
        <w:rPr>
          <w:sz w:val="26"/>
          <w:szCs w:val="26"/>
        </w:rPr>
      </w:pPr>
      <w:r>
        <w:rPr>
          <w:sz w:val="26"/>
          <w:szCs w:val="26"/>
        </w:rPr>
      </w:r>
    </w:p>
    <w:p>
      <w:pPr>
        <w:pStyle w:val="ListParagraph"/>
        <w:numPr>
          <w:ilvl w:val="0"/>
          <w:numId w:val="1"/>
        </w:numPr>
        <w:tabs>
          <w:tab w:val="clear" w:pos="709"/>
          <w:tab w:val="left" w:pos="6255" w:leader="none"/>
        </w:tabs>
        <w:bidi w:val="0"/>
        <w:spacing w:lineRule="auto" w:line="240"/>
        <w:jc w:val="both"/>
        <w:rPr>
          <w:sz w:val="26"/>
          <w:szCs w:val="26"/>
        </w:rPr>
      </w:pPr>
      <w:r>
        <w:rPr>
          <w:rFonts w:ascii="Times New Roman" w:hAnsi="Times New Roman"/>
          <w:color w:val="000000"/>
          <w:sz w:val="26"/>
          <w:szCs w:val="26"/>
        </w:rPr>
        <w:t xml:space="preserve">Сведения, представленные ОСФР по КК в отношении </w:t>
      </w:r>
      <w:r>
        <w:rPr>
          <w:rFonts w:ascii="Times New Roman" w:hAnsi="Times New Roman"/>
          <w:color w:val="000000"/>
          <w:sz w:val="26"/>
          <w:szCs w:val="26"/>
          <w:lang w:bidi="ru-RU"/>
        </w:rPr>
        <w:t>ООО «Солнечный ветер»</w:t>
      </w:r>
      <w:r>
        <w:rPr>
          <w:rFonts w:ascii="Times New Roman" w:hAnsi="Times New Roman"/>
          <w:color w:val="000000"/>
          <w:sz w:val="26"/>
          <w:szCs w:val="26"/>
        </w:rPr>
        <w:t xml:space="preserve"> не включать в реестр недобросовестных поставщиков. </w:t>
      </w:r>
    </w:p>
    <w:p>
      <w:pPr>
        <w:pStyle w:val="ListParagraph"/>
        <w:numPr>
          <w:ilvl w:val="0"/>
          <w:numId w:val="1"/>
        </w:numPr>
        <w:tabs>
          <w:tab w:val="clear" w:pos="709"/>
          <w:tab w:val="left" w:pos="6255" w:leader="none"/>
        </w:tabs>
        <w:bidi w:val="0"/>
        <w:spacing w:lineRule="auto" w:line="240"/>
        <w:jc w:val="both"/>
        <w:rPr>
          <w:sz w:val="26"/>
          <w:szCs w:val="26"/>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10880" w:leader="none"/>
        </w:tabs>
        <w:bidi w:val="0"/>
        <w:spacing w:lineRule="auto" w:line="240"/>
        <w:ind w:start="1789" w:end="-115" w:hanging="1080"/>
        <w:jc w:val="both"/>
        <w:rPr>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spacing w:lineRule="auto" w:line="240"/>
        <w:ind w:start="0" w:end="0" w:firstLine="680"/>
        <w:jc w:val="both"/>
        <w:rPr>
          <w:sz w:val="26"/>
          <w:szCs w:val="26"/>
        </w:rPr>
      </w:pPr>
      <w:r>
        <w:rPr>
          <w:rFonts w:ascii="Times New Roman" w:hAnsi="Times New Roman"/>
          <w:color w:val="000000"/>
          <w:sz w:val="26"/>
          <w:szCs w:val="26"/>
        </w:rPr>
        <w:t>Настоящее Решение может быть обжаловано в судебном порядке в течение трех месяцев со дня его принятия.</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ConsPlusNormal">
    <w:name w:val="ConsPlusNormal Знак"/>
    <w:qFormat/>
    <w:rPr>
      <w:rFonts w:ascii="Times New Roman" w:hAnsi="Times New Roman" w:cs="Times New Roman"/>
      <w:sz w:val="26"/>
      <w:szCs w:val="26"/>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lang w:val="zxx" w:eastAsia="zxx" w:bidi="zxx"/>
    </w:rPr>
  </w:style>
  <w:style w:type="paragraph" w:styleId="2">
    <w:name w:val="Основной текст2"/>
    <w:basedOn w:val="Normal"/>
    <w:qFormat/>
    <w:pPr>
      <w:widowControl w:val="false"/>
      <w:shd w:fill="FFFFFF"/>
      <w:spacing w:lineRule="atLeast" w:line="0"/>
      <w:ind w:hanging="360"/>
      <w:jc w:val="end"/>
    </w:pPr>
    <w:rPr>
      <w:rFonts w:ascii="Calibri" w:hAnsi="Calibri" w:eastAsia="Calibri"/>
      <w:sz w:val="25"/>
      <w:szCs w:val="25"/>
      <w:lang w:eastAsia="en-US"/>
    </w:rPr>
  </w:style>
  <w:style w:type="paragraph" w:styleId="Style19">
    <w:name w:val="Body Text Indent"/>
    <w:basedOn w:val="Style15"/>
    <w:pPr/>
    <w:rPr/>
  </w:style>
  <w:style w:type="paragraph" w:styleId="ListParagraph">
    <w:name w:val="List Paragraph"/>
    <w:basedOn w:val="Normal"/>
    <w:qFormat/>
    <w:pPr>
      <w:spacing w:before="0" w:after="0"/>
      <w:ind w:star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2026-09-17T17:22:26Z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