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5BF24">
      <w:pPr>
        <w:widowControl w:val="0"/>
        <w:autoSpaceDN w:val="0"/>
        <w:rPr>
          <w:b/>
          <w:kern w:val="3"/>
          <w:lang w:eastAsia="ja-JP" w:bidi="fa-IR"/>
        </w:rPr>
      </w:pPr>
    </w:p>
    <w:p w14:paraId="075B79AB">
      <w:pPr>
        <w:widowControl w:val="0"/>
        <w:autoSpaceDN w:val="0"/>
        <w:rPr>
          <w:b/>
          <w:kern w:val="3"/>
          <w:lang w:eastAsia="ja-JP" w:bidi="fa-IR"/>
        </w:rPr>
      </w:pPr>
    </w:p>
    <w:p w14:paraId="3D4F955A">
      <w:pPr>
        <w:widowControl w:val="0"/>
        <w:autoSpaceDN w:val="0"/>
        <w:rPr>
          <w:b/>
          <w:kern w:val="3"/>
          <w:lang w:eastAsia="ja-JP" w:bidi="fa-IR"/>
        </w:rPr>
      </w:pPr>
    </w:p>
    <w:p w14:paraId="6A36087C">
      <w:pPr>
        <w:widowControl w:val="0"/>
        <w:autoSpaceDN w:val="0"/>
        <w:rPr>
          <w:b/>
          <w:kern w:val="3"/>
          <w:lang w:eastAsia="ja-JP" w:bidi="fa-IR"/>
        </w:rPr>
      </w:pPr>
    </w:p>
    <w:p w14:paraId="63EE09D8">
      <w:pPr>
        <w:widowControl w:val="0"/>
        <w:autoSpaceDN w:val="0"/>
        <w:rPr>
          <w:b/>
          <w:kern w:val="3"/>
          <w:lang w:eastAsia="ja-JP" w:bidi="fa-IR"/>
        </w:rPr>
      </w:pPr>
    </w:p>
    <w:p w14:paraId="1F53B857">
      <w:pPr>
        <w:widowControl w:val="0"/>
        <w:autoSpaceDN w:val="0"/>
        <w:rPr>
          <w:b/>
          <w:kern w:val="3"/>
          <w:lang w:eastAsia="ja-JP" w:bidi="fa-IR"/>
        </w:rPr>
      </w:pPr>
    </w:p>
    <w:p w14:paraId="76D598D8">
      <w:pPr>
        <w:widowControl w:val="0"/>
        <w:autoSpaceDN w:val="0"/>
        <w:rPr>
          <w:b/>
          <w:kern w:val="3"/>
          <w:lang w:eastAsia="ja-JP" w:bidi="fa-IR"/>
        </w:rPr>
      </w:pPr>
    </w:p>
    <w:p w14:paraId="1A68B9ED">
      <w:pPr>
        <w:widowControl w:val="0"/>
        <w:autoSpaceDN w:val="0"/>
        <w:rPr>
          <w:b/>
          <w:kern w:val="3"/>
          <w:lang w:eastAsia="ja-JP" w:bidi="fa-IR"/>
        </w:rPr>
      </w:pPr>
    </w:p>
    <w:p w14:paraId="3C565EC2">
      <w:pPr>
        <w:widowControl w:val="0"/>
        <w:autoSpaceDN w:val="0"/>
        <w:rPr>
          <w:b/>
          <w:kern w:val="3"/>
          <w:lang w:eastAsia="ja-JP" w:bidi="fa-IR"/>
        </w:rPr>
      </w:pPr>
    </w:p>
    <w:p w14:paraId="76D3C7A1">
      <w:pPr>
        <w:widowControl w:val="0"/>
        <w:autoSpaceDN w:val="0"/>
        <w:rPr>
          <w:b/>
          <w:kern w:val="3"/>
          <w:lang w:eastAsia="ja-JP" w:bidi="fa-IR"/>
        </w:rPr>
      </w:pPr>
    </w:p>
    <w:p w14:paraId="1A0931E1">
      <w:pPr>
        <w:widowControl w:val="0"/>
        <w:autoSpaceDN w:val="0"/>
        <w:rPr>
          <w:b/>
          <w:kern w:val="3"/>
          <w:lang w:eastAsia="ja-JP" w:bidi="fa-IR"/>
        </w:rPr>
      </w:pPr>
    </w:p>
    <w:p w14:paraId="277D900F">
      <w:pPr>
        <w:widowControl w:val="0"/>
        <w:autoSpaceDN w:val="0"/>
        <w:rPr>
          <w:b/>
          <w:kern w:val="3"/>
          <w:lang w:eastAsia="ja-JP" w:bidi="fa-IR"/>
        </w:rPr>
      </w:pPr>
    </w:p>
    <w:p w14:paraId="5207CF5D">
      <w:pPr>
        <w:widowControl w:val="0"/>
        <w:autoSpaceDN w:val="0"/>
        <w:rPr>
          <w:b/>
          <w:kern w:val="3"/>
          <w:lang w:eastAsia="ja-JP" w:bidi="fa-IR"/>
        </w:rPr>
      </w:pPr>
    </w:p>
    <w:p w14:paraId="0D7EB736">
      <w:pPr>
        <w:widowControl w:val="0"/>
        <w:autoSpaceDN w:val="0"/>
        <w:rPr>
          <w:b/>
          <w:kern w:val="3"/>
          <w:lang w:eastAsia="ja-JP" w:bidi="fa-IR"/>
        </w:rPr>
      </w:pPr>
    </w:p>
    <w:p w14:paraId="35E01DD3">
      <w:pPr>
        <w:widowControl w:val="0"/>
        <w:autoSpaceDN w:val="0"/>
        <w:rPr>
          <w:b/>
          <w:kern w:val="3"/>
          <w:lang w:eastAsia="ja-JP" w:bidi="fa-IR"/>
        </w:rPr>
      </w:pPr>
    </w:p>
    <w:p w14:paraId="7697318D">
      <w:pPr>
        <w:widowControl w:val="0"/>
        <w:autoSpaceDN w:val="0"/>
        <w:rPr>
          <w:b/>
          <w:kern w:val="3"/>
          <w:lang w:eastAsia="ja-JP" w:bidi="fa-IR"/>
        </w:rPr>
      </w:pPr>
    </w:p>
    <w:p w14:paraId="4F603EF8">
      <w:pPr>
        <w:widowControl w:val="0"/>
        <w:autoSpaceDN w:val="0"/>
        <w:rPr>
          <w:b/>
          <w:kern w:val="3"/>
          <w:lang w:eastAsia="ja-JP" w:bidi="fa-IR"/>
        </w:rPr>
      </w:pPr>
    </w:p>
    <w:p w14:paraId="0BB700E7">
      <w:pPr>
        <w:widowControl w:val="0"/>
        <w:autoSpaceDN w:val="0"/>
        <w:rPr>
          <w:b/>
          <w:kern w:val="3"/>
          <w:lang w:eastAsia="ja-JP" w:bidi="fa-IR"/>
        </w:rPr>
      </w:pPr>
    </w:p>
    <w:p w14:paraId="51EF9F9C">
      <w:pPr>
        <w:widowControl w:val="0"/>
        <w:autoSpaceDN w:val="0"/>
        <w:rPr>
          <w:b/>
          <w:kern w:val="3"/>
          <w:lang w:eastAsia="ja-JP" w:bidi="fa-IR"/>
        </w:rPr>
      </w:pPr>
    </w:p>
    <w:p w14:paraId="36247F7F">
      <w:pPr>
        <w:widowControl w:val="0"/>
        <w:autoSpaceDN w:val="0"/>
        <w:rPr>
          <w:b/>
          <w:kern w:val="3"/>
          <w:lang w:eastAsia="ja-JP" w:bidi="fa-IR"/>
        </w:rPr>
      </w:pPr>
    </w:p>
    <w:p w14:paraId="64BA91F5">
      <w:pPr>
        <w:widowControl w:val="0"/>
        <w:autoSpaceDN w:val="0"/>
        <w:rPr>
          <w:b/>
          <w:kern w:val="3"/>
          <w:lang w:eastAsia="ja-JP" w:bidi="fa-IR"/>
        </w:rPr>
      </w:pPr>
    </w:p>
    <w:p w14:paraId="5ECEA2D2">
      <w:pPr>
        <w:widowControl w:val="0"/>
        <w:autoSpaceDN w:val="0"/>
        <w:rPr>
          <w:b/>
          <w:kern w:val="3"/>
          <w:lang w:eastAsia="ja-JP" w:bidi="fa-IR"/>
        </w:rPr>
      </w:pPr>
    </w:p>
    <w:p w14:paraId="6F30C5FA">
      <w:pPr>
        <w:widowControl w:val="0"/>
        <w:autoSpaceDN w:val="0"/>
        <w:rPr>
          <w:b/>
          <w:kern w:val="3"/>
          <w:lang w:eastAsia="ja-JP" w:bidi="fa-IR"/>
        </w:rPr>
      </w:pPr>
    </w:p>
    <w:p w14:paraId="443B9AC1">
      <w:pPr>
        <w:widowControl w:val="0"/>
        <w:autoSpaceDN w:val="0"/>
        <w:rPr>
          <w:b/>
          <w:kern w:val="3"/>
          <w:lang w:eastAsia="ja-JP" w:bidi="fa-IR"/>
        </w:rPr>
      </w:pPr>
    </w:p>
    <w:p w14:paraId="255F05B8">
      <w:pPr>
        <w:widowControl w:val="0"/>
        <w:autoSpaceDN w:val="0"/>
        <w:rPr>
          <w:b/>
          <w:kern w:val="3"/>
          <w:lang w:eastAsia="ja-JP" w:bidi="fa-IR"/>
        </w:rPr>
      </w:pPr>
    </w:p>
    <w:p w14:paraId="31FF1630">
      <w:pPr>
        <w:widowControl w:val="0"/>
        <w:autoSpaceDN w:val="0"/>
        <w:rPr>
          <w:b/>
          <w:kern w:val="3"/>
          <w:lang w:eastAsia="ja-JP" w:bidi="fa-IR"/>
        </w:rPr>
      </w:pPr>
    </w:p>
    <w:p w14:paraId="34E4A86C">
      <w:pPr>
        <w:widowControl w:val="0"/>
        <w:autoSpaceDN w:val="0"/>
        <w:rPr>
          <w:b/>
          <w:kern w:val="3"/>
          <w:lang w:eastAsia="ja-JP" w:bidi="fa-IR"/>
        </w:rPr>
      </w:pPr>
    </w:p>
    <w:p w14:paraId="0796EC98">
      <w:pPr>
        <w:widowControl w:val="0"/>
        <w:autoSpaceDN w:val="0"/>
        <w:rPr>
          <w:b/>
          <w:kern w:val="3"/>
          <w:lang w:eastAsia="ja-JP" w:bidi="fa-IR"/>
        </w:rPr>
      </w:pPr>
    </w:p>
    <w:p w14:paraId="2FE527B8">
      <w:pPr>
        <w:widowControl w:val="0"/>
        <w:autoSpaceDN w:val="0"/>
        <w:rPr>
          <w:b/>
          <w:kern w:val="3"/>
          <w:lang w:eastAsia="ja-JP" w:bidi="fa-IR"/>
        </w:rPr>
      </w:pPr>
    </w:p>
    <w:p w14:paraId="575ECB3B">
      <w:pPr>
        <w:widowControl w:val="0"/>
        <w:autoSpaceDN w:val="0"/>
        <w:rPr>
          <w:b/>
          <w:kern w:val="3"/>
          <w:lang w:eastAsia="ja-JP" w:bidi="fa-IR"/>
        </w:rPr>
      </w:pPr>
    </w:p>
    <w:p w14:paraId="3D5D26C6">
      <w:pPr>
        <w:widowControl w:val="0"/>
        <w:autoSpaceDN w:val="0"/>
        <w:rPr>
          <w:b/>
          <w:kern w:val="3"/>
          <w:lang w:eastAsia="ja-JP" w:bidi="fa-IR"/>
        </w:rPr>
      </w:pPr>
    </w:p>
    <w:p w14:paraId="705A1BEA">
      <w:pPr>
        <w:widowControl w:val="0"/>
        <w:autoSpaceDN w:val="0"/>
      </w:pPr>
    </w:p>
    <w:p w14:paraId="1B68AC64">
      <w:pPr>
        <w:widowControl w:val="0"/>
        <w:tabs>
          <w:tab w:val="left" w:pos="5812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РЕШЕНИЕ № РНП-63-360</w:t>
      </w:r>
    </w:p>
    <w:p w14:paraId="0EE26686">
      <w:pPr>
        <w:widowControl w:val="0"/>
        <w:tabs>
          <w:tab w:val="left" w:pos="5812"/>
        </w:tabs>
        <w:rPr>
          <w:sz w:val="26"/>
          <w:szCs w:val="26"/>
        </w:rPr>
      </w:pPr>
    </w:p>
    <w:p w14:paraId="7F0FA3F5">
      <w:pPr>
        <w:widowControl w:val="0"/>
        <w:tabs>
          <w:tab w:val="left" w:pos="5812"/>
        </w:tabs>
        <w:rPr>
          <w:sz w:val="26"/>
          <w:szCs w:val="26"/>
        </w:rPr>
      </w:pPr>
      <w:r>
        <w:rPr>
          <w:sz w:val="26"/>
          <w:szCs w:val="26"/>
        </w:rPr>
        <w:t>Резолютивная часть оглашена</w:t>
      </w:r>
    </w:p>
    <w:p w14:paraId="1611FA7F">
      <w:pPr>
        <w:widowControl w:val="0"/>
        <w:tabs>
          <w:tab w:val="left" w:pos="5529"/>
        </w:tabs>
        <w:rPr>
          <w:sz w:val="26"/>
          <w:szCs w:val="26"/>
        </w:rPr>
      </w:pPr>
      <w:r>
        <w:rPr>
          <w:sz w:val="26"/>
          <w:szCs w:val="26"/>
        </w:rPr>
        <w:t>17.10.2025                                                                                                                     г.  Самара</w:t>
      </w:r>
    </w:p>
    <w:p w14:paraId="4AC3A3CA">
      <w:pPr>
        <w:ind w:firstLine="709"/>
        <w:jc w:val="both"/>
        <w:rPr>
          <w:rFonts w:eastAsia="Calibri"/>
          <w:sz w:val="26"/>
          <w:szCs w:val="26"/>
          <w:lang w:eastAsia="ru-RU"/>
        </w:rPr>
      </w:pPr>
    </w:p>
    <w:p w14:paraId="545A79D7">
      <w:pPr>
        <w:autoSpaceDE w:val="0"/>
        <w:spacing w:line="20" w:lineRule="atLeast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ru-RU"/>
        </w:rPr>
        <w:t xml:space="preserve">Комиссия Управления Федеральной антимонопольной службы по Самарской области (Самарское УФАС России) по контролю в сфере закупок (далее – Комиссия Самарского УФАС, Комиссия) </w:t>
      </w:r>
      <w:r>
        <w:rPr>
          <w:sz w:val="26"/>
          <w:szCs w:val="26"/>
        </w:rPr>
        <w:t>в составе: заместителя руководителя – начальника отдела контроля закупок Самарского УФАС России А.С. Корчагиной, специалиста-эксперта отдела контроля закупок Самарского УФАС России В.С. Филатова, специалиста 1 разряда отдела контроля закупок Самарского УФАС России О.А. Архиповой,</w:t>
      </w:r>
    </w:p>
    <w:p w14:paraId="5A8C0FFE">
      <w:pPr>
        <w:pStyle w:val="21"/>
        <w:jc w:val="both"/>
        <w:rPr>
          <w:color w:val="auto"/>
          <w:sz w:val="26"/>
          <w:szCs w:val="26"/>
        </w:rPr>
      </w:pPr>
      <w:r>
        <w:rPr>
          <w:sz w:val="26"/>
          <w:szCs w:val="26"/>
        </w:rPr>
        <w:t>рассмотрев в соответствии со статьей 104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Постановлением Правительства РФ от 30.06.2021 № 1078 «</w:t>
      </w:r>
      <w:r>
        <w:rPr>
          <w:rFonts w:eastAsiaTheme="minorHAnsi"/>
          <w:sz w:val="26"/>
          <w:szCs w:val="26"/>
          <w:lang w:eastAsia="en-US"/>
        </w:rPr>
        <w:t>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</w:t>
      </w:r>
      <w:r>
        <w:rPr>
          <w:sz w:val="26"/>
          <w:szCs w:val="26"/>
        </w:rPr>
        <w:t xml:space="preserve">»  (далее – Постановление № 1078) обращение </w:t>
      </w:r>
      <w:r>
        <w:rPr>
          <w:bCs/>
          <w:kern w:val="3"/>
          <w:sz w:val="26"/>
          <w:szCs w:val="26"/>
          <w:lang w:eastAsia="ja-JP" w:bidi="fa-IR"/>
        </w:rPr>
        <w:t xml:space="preserve">Управления архитектуры и градостроительства Администрации городского округа Кинель Самарской области </w:t>
      </w:r>
      <w:r>
        <w:rPr>
          <w:kern w:val="3"/>
          <w:sz w:val="26"/>
          <w:szCs w:val="26"/>
          <w:lang w:eastAsia="ja-JP" w:bidi="fa-IR"/>
        </w:rPr>
        <w:t xml:space="preserve">(далее – Заказчик) </w:t>
      </w:r>
      <w:r>
        <w:rPr>
          <w:sz w:val="26"/>
          <w:szCs w:val="26"/>
        </w:rPr>
        <w:t xml:space="preserve">о включении сведений об </w:t>
      </w:r>
      <w:bookmarkStart w:id="5" w:name="_GoBack"/>
      <w:r>
        <w:rPr>
          <w:color w:val="auto"/>
          <w:kern w:val="3"/>
          <w:sz w:val="26"/>
          <w:szCs w:val="26"/>
          <w:lang w:eastAsia="ja-JP" w:bidi="fa-IR"/>
        </w:rPr>
        <w:t>ООО «Комплексные проекты в экологии и энергетике»</w:t>
      </w:r>
      <w:bookmarkEnd w:id="5"/>
      <w:r>
        <w:rPr>
          <w:color w:val="auto"/>
          <w:kern w:val="3"/>
          <w:sz w:val="26"/>
          <w:szCs w:val="26"/>
          <w:lang w:eastAsia="ja-JP" w:bidi="fa-IR"/>
        </w:rPr>
        <w:t xml:space="preserve"> </w:t>
      </w:r>
      <w:r>
        <w:rPr>
          <w:sz w:val="26"/>
          <w:szCs w:val="26"/>
        </w:rPr>
        <w:t xml:space="preserve">(далее – Общество, </w:t>
      </w:r>
      <w:r>
        <w:rPr>
          <w:color w:val="auto"/>
          <w:sz w:val="26"/>
          <w:szCs w:val="26"/>
        </w:rPr>
        <w:t xml:space="preserve">Подрядчик) в Реестр недобросовестных поставщиков в связи с односторонним отказом заказчика от исполнения контракта по итогам проведенного </w:t>
      </w:r>
      <w:bookmarkStart w:id="0" w:name="_Hlk109129012"/>
      <w:bookmarkStart w:id="1" w:name="_Hlk117583068"/>
      <w:bookmarkStart w:id="2" w:name="_Hlk111802085"/>
      <w:r>
        <w:rPr>
          <w:color w:val="auto"/>
          <w:sz w:val="26"/>
          <w:szCs w:val="26"/>
        </w:rPr>
        <w:t xml:space="preserve">открытого конкурса в электронной форме по объекту закупки: Проектно-изыскательные работы по объекту: "Проектирование и реконструкция строящихся сооружений НФС в городе Кинель Самарской области" </w:t>
      </w:r>
      <w:r>
        <w:rPr>
          <w:color w:val="auto"/>
          <w:sz w:val="26"/>
          <w:szCs w:val="26"/>
          <w:shd w:val="clear" w:color="auto" w:fill="FFFFFF"/>
        </w:rPr>
        <w:t>(Извещение №</w:t>
      </w:r>
      <w:bookmarkEnd w:id="0"/>
      <w:bookmarkEnd w:id="1"/>
      <w:bookmarkEnd w:id="2"/>
      <w:r>
        <w:rPr>
          <w:color w:val="auto"/>
          <w:sz w:val="26"/>
          <w:szCs w:val="26"/>
          <w:shd w:val="clear" w:color="auto" w:fill="FFFFFF"/>
        </w:rPr>
        <w:t xml:space="preserve"> 0142200001323016632</w:t>
      </w:r>
      <w:r>
        <w:rPr>
          <w:color w:val="auto"/>
          <w:sz w:val="26"/>
          <w:szCs w:val="26"/>
        </w:rPr>
        <w:t>, начальная (максимальная) цена контракта – 58 254 722,33 руб.</w:t>
      </w:r>
      <w:r>
        <w:rPr>
          <w:color w:val="auto"/>
          <w:sz w:val="26"/>
          <w:szCs w:val="26"/>
          <w:shd w:val="clear" w:color="auto" w:fill="FFFFFF"/>
        </w:rPr>
        <w:t>).</w:t>
      </w:r>
      <w:r>
        <w:rPr>
          <w:sz w:val="26"/>
          <w:szCs w:val="26"/>
        </w:rPr>
        <w:t>(далее – Закупка),</w:t>
      </w:r>
    </w:p>
    <w:p w14:paraId="1226C1B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присутствии представителей (до и после перерыва) от Заказчика, Уполномоченного органа, Общества (доверенности), </w:t>
      </w:r>
    </w:p>
    <w:p w14:paraId="3158E866">
      <w:pPr>
        <w:ind w:firstLine="709"/>
        <w:contextualSpacing/>
        <w:jc w:val="both"/>
        <w:rPr>
          <w:sz w:val="26"/>
          <w:szCs w:val="26"/>
        </w:rPr>
      </w:pPr>
    </w:p>
    <w:p w14:paraId="0458B7BD">
      <w:pPr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УСТАНОВИЛА:</w:t>
      </w:r>
    </w:p>
    <w:p w14:paraId="373737BA">
      <w:pPr>
        <w:contextualSpacing/>
        <w:jc w:val="both"/>
        <w:rPr>
          <w:sz w:val="26"/>
          <w:szCs w:val="26"/>
        </w:rPr>
      </w:pPr>
    </w:p>
    <w:p w14:paraId="6FC2FA98">
      <w:pPr>
        <w:spacing w:before="100" w:beforeAutospacing="1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10.10.2025 в Самарское УФАС России поступило обращение Заказчика о включении сведений об Обществе в реестр недобросовестных поставщиков, из которого следует, что Общество не произвело работы по объекту Закупки, в связи с чем Заказчиком принято решение об одностороннем отказе от исполнения контракта и направлении сведений об Обществе в Самарское УФАС России для включения информации в реестр недобросовестных поставщиков в соответствии со статьей 104 Закона о контрактной системе.</w:t>
      </w:r>
      <w:r>
        <w:rPr>
          <w:sz w:val="26"/>
          <w:szCs w:val="26"/>
          <w:shd w:val="clear" w:color="auto" w:fill="FFFFFF"/>
        </w:rPr>
        <w:t xml:space="preserve"> </w:t>
      </w:r>
    </w:p>
    <w:p w14:paraId="26149E85">
      <w:pPr>
        <w:spacing w:before="100" w:beforeAutospacing="1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Комиссия Самарского УФАС России, исследовав материалы, представленные для рассмотрения указанного обращения и проведя проверку, установила следующее.</w:t>
      </w:r>
    </w:p>
    <w:p w14:paraId="26E1570D">
      <w:pPr>
        <w:widowControl w:val="0"/>
        <w:spacing w:before="100" w:beforeAutospacing="1"/>
        <w:ind w:firstLine="709"/>
        <w:contextualSpacing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08.09.2023 между Заказчиком и Обществом заключен контракт № </w:t>
      </w:r>
      <w:r>
        <w:rPr>
          <w:sz w:val="26"/>
          <w:szCs w:val="26"/>
        </w:rPr>
        <w:t xml:space="preserve">0142200001323016632-16 (реестровый № 3635001398423000017) </w:t>
      </w:r>
      <w:r>
        <w:rPr>
          <w:sz w:val="26"/>
          <w:szCs w:val="26"/>
          <w:shd w:val="clear" w:color="auto" w:fill="FFFFFF"/>
        </w:rPr>
        <w:t>(далее – Контракт).</w:t>
      </w:r>
    </w:p>
    <w:p w14:paraId="0E626F87">
      <w:pPr>
        <w:spacing w:before="100" w:beforeAutospacing="1"/>
        <w:ind w:firstLine="709"/>
        <w:contextualSpacing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Согласно пунктам 2.1 – 2.3 Контракта: </w:t>
      </w:r>
    </w:p>
    <w:p w14:paraId="370E2D17">
      <w:pPr>
        <w:spacing w:before="100" w:beforeAutospacing="1"/>
        <w:ind w:firstLine="709"/>
        <w:contextualSpacing/>
        <w:jc w:val="both"/>
        <w:rPr>
          <w:sz w:val="26"/>
          <w:szCs w:val="26"/>
        </w:rPr>
      </w:pPr>
      <w:bookmarkStart w:id="3" w:name="sub_273"/>
      <w:r>
        <w:rPr>
          <w:sz w:val="26"/>
          <w:szCs w:val="26"/>
        </w:rPr>
        <w:t>2.1. Предметом Контракта является: Выполнение проектно-изыскательских работ и разработку ПСД по объекту «Проектирование и реконструкция строящихся сооружений НФС в г. Кинель Самарской области» на условиях, предусмотренных Контрактом</w:t>
      </w:r>
      <w:r>
        <w:rPr>
          <w:rStyle w:val="5"/>
          <w:sz w:val="26"/>
          <w:szCs w:val="26"/>
        </w:rPr>
        <w:footnoteReference w:id="0"/>
      </w:r>
      <w:r>
        <w:rPr>
          <w:sz w:val="26"/>
          <w:szCs w:val="26"/>
        </w:rPr>
        <w:t>.</w:t>
      </w:r>
    </w:p>
    <w:bookmarkEnd w:id="3"/>
    <w:p w14:paraId="35E494F0">
      <w:pPr>
        <w:widowControl w:val="0"/>
        <w:tabs>
          <w:tab w:val="left" w:pos="0"/>
        </w:tabs>
        <w:spacing w:before="100" w:beforeAutospacing="1"/>
        <w:ind w:firstLine="709"/>
        <w:contextualSpacing/>
        <w:jc w:val="both"/>
        <w:outlineLvl w:val="0"/>
        <w:rPr>
          <w:spacing w:val="-4"/>
          <w:sz w:val="26"/>
          <w:szCs w:val="26"/>
        </w:rPr>
      </w:pPr>
      <w:r>
        <w:rPr>
          <w:sz w:val="26"/>
          <w:szCs w:val="26"/>
        </w:rPr>
        <w:t>2.2. Подрядчик выполняет работы по настоящему Контракту, а так же по завершению работ</w:t>
      </w:r>
      <w:r>
        <w:rPr>
          <w:color w:val="0E9E11"/>
          <w:sz w:val="26"/>
          <w:szCs w:val="26"/>
        </w:rPr>
        <w:t xml:space="preserve"> </w:t>
      </w:r>
      <w:r>
        <w:rPr>
          <w:sz w:val="26"/>
          <w:szCs w:val="26"/>
        </w:rPr>
        <w:t xml:space="preserve">обязуется </w:t>
      </w:r>
      <w:r>
        <w:rPr>
          <w:rFonts w:eastAsia="Calibri"/>
          <w:sz w:val="26"/>
          <w:szCs w:val="26"/>
        </w:rPr>
        <w:t xml:space="preserve">от имени Заказчика направить </w:t>
      </w:r>
      <w:r>
        <w:rPr>
          <w:sz w:val="26"/>
          <w:szCs w:val="26"/>
        </w:rPr>
        <w:t>Проектную документацию на государственную экспертизу для получения</w:t>
      </w:r>
      <w:r>
        <w:rPr>
          <w:rFonts w:eastAsia="Calibri"/>
          <w:sz w:val="26"/>
          <w:szCs w:val="26"/>
        </w:rPr>
        <w:t xml:space="preserve"> положительного заключения государственной экспертизы (далее – положительное заключение государственной экспертизы) и </w:t>
      </w:r>
      <w:r>
        <w:rPr>
          <w:sz w:val="26"/>
          <w:szCs w:val="26"/>
        </w:rPr>
        <w:t xml:space="preserve">согласовать Проектную документацию вместе с </w:t>
      </w:r>
      <w:r>
        <w:rPr>
          <w:rFonts w:eastAsia="Calibri"/>
          <w:sz w:val="26"/>
          <w:szCs w:val="26"/>
        </w:rPr>
        <w:t xml:space="preserve">Заказчиком со всеми </w:t>
      </w:r>
      <w:r>
        <w:rPr>
          <w:sz w:val="26"/>
          <w:szCs w:val="26"/>
        </w:rPr>
        <w:t>компетентными государственными органами и органами местного самоуправления, а Заказчик обязуется принять и оплатить результат Работ на условиях, указанных в Контракте</w:t>
      </w:r>
      <w:r>
        <w:rPr>
          <w:snapToGrid w:val="0"/>
          <w:sz w:val="26"/>
          <w:szCs w:val="26"/>
        </w:rPr>
        <w:t>.</w:t>
      </w:r>
    </w:p>
    <w:p w14:paraId="1D327CE7">
      <w:pPr>
        <w:widowControl w:val="0"/>
        <w:tabs>
          <w:tab w:val="left" w:pos="142"/>
          <w:tab w:val="left" w:pos="1418"/>
        </w:tabs>
        <w:spacing w:before="100" w:beforeAutospacing="1"/>
        <w:ind w:firstLine="709"/>
        <w:contextualSpacing/>
        <w:jc w:val="both"/>
        <w:outlineLvl w:val="0"/>
        <w:rPr>
          <w:sz w:val="26"/>
          <w:szCs w:val="26"/>
        </w:rPr>
      </w:pPr>
      <w:bookmarkStart w:id="4" w:name="_Toc342586336"/>
      <w:r>
        <w:rPr>
          <w:sz w:val="26"/>
          <w:szCs w:val="26"/>
        </w:rPr>
        <w:t>2.3. Результатом Работ по настоящему Контракту является разработанная Подрядчиком и принятая Заказчиком Проектная документация при наличии положительного заключения государственной экспертизы.</w:t>
      </w:r>
    </w:p>
    <w:bookmarkEnd w:id="4"/>
    <w:p w14:paraId="250B8CF0">
      <w:pPr>
        <w:spacing w:before="100" w:beforeAutospacing="1"/>
        <w:ind w:firstLine="709"/>
        <w:contextualSpacing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Пунктами 5.1 – 5.2 Контракта установлены сроки выполнения работ: </w:t>
      </w:r>
    </w:p>
    <w:p w14:paraId="09172409">
      <w:pPr>
        <w:widowControl w:val="0"/>
        <w:spacing w:before="100" w:beforeAutospacing="1"/>
        <w:ind w:firstLine="709"/>
        <w:contextualSpacing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5.1. Контракт вступает в силу с момента подписания его Сторонами и действует до </w:t>
      </w:r>
      <w:r>
        <w:rPr>
          <w:i/>
          <w:sz w:val="26"/>
          <w:szCs w:val="26"/>
        </w:rPr>
        <w:t>31.12.2024</w:t>
      </w:r>
      <w:r>
        <w:rPr>
          <w:sz w:val="26"/>
          <w:szCs w:val="26"/>
        </w:rPr>
        <w:t>.</w:t>
      </w:r>
    </w:p>
    <w:p w14:paraId="5B83C376">
      <w:pPr>
        <w:widowControl w:val="0"/>
        <w:spacing w:before="100" w:beforeAutospacing="1"/>
        <w:ind w:firstLine="709"/>
        <w:contextualSpacing/>
        <w:jc w:val="both"/>
        <w:outlineLvl w:val="0"/>
        <w:rPr>
          <w:bCs/>
          <w:spacing w:val="2"/>
          <w:sz w:val="26"/>
          <w:szCs w:val="26"/>
        </w:rPr>
      </w:pPr>
      <w:r>
        <w:rPr>
          <w:sz w:val="26"/>
          <w:szCs w:val="26"/>
        </w:rPr>
        <w:t xml:space="preserve">5.2.Сроки выполнения Работ, включая </w:t>
      </w:r>
      <w:r>
        <w:rPr>
          <w:spacing w:val="-2"/>
          <w:sz w:val="26"/>
          <w:szCs w:val="26"/>
        </w:rPr>
        <w:t>промежуточные сроки, приведены в Графике исполнения контракта, являющемся Приложением к Контракту</w:t>
      </w:r>
      <w:r>
        <w:rPr>
          <w:bCs/>
          <w:spacing w:val="2"/>
          <w:sz w:val="26"/>
          <w:szCs w:val="26"/>
        </w:rPr>
        <w:t>.</w:t>
      </w:r>
    </w:p>
    <w:p w14:paraId="260978B7">
      <w:pPr>
        <w:spacing w:before="100" w:beforeAutospacing="1"/>
        <w:ind w:firstLine="709"/>
        <w:contextualSpacing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Согласно Графику выполнения работ: </w:t>
      </w:r>
    </w:p>
    <w:p w14:paraId="345EF20A">
      <w:pPr>
        <w:tabs>
          <w:tab w:val="left" w:pos="43"/>
          <w:tab w:val="left" w:pos="681"/>
        </w:tabs>
        <w:autoSpaceDE w:val="0"/>
        <w:autoSpaceDN w:val="0"/>
        <w:adjustRightInd w:val="0"/>
        <w:spacing w:before="100" w:beforeAutospacing="1"/>
        <w:ind w:firstLine="709"/>
        <w:contextualSpacing/>
        <w:jc w:val="both"/>
        <w:rPr>
          <w:color w:val="000000" w:themeColor="text1"/>
          <w:sz w:val="26"/>
          <w:szCs w:val="26"/>
          <w:lang w:eastAsia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Продолжительность работ </w:t>
      </w:r>
      <w:r>
        <w:rPr>
          <w:sz w:val="26"/>
          <w:szCs w:val="26"/>
        </w:rPr>
        <w:t>15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 месяцев</w:t>
      </w:r>
    </w:p>
    <w:p w14:paraId="39783C48">
      <w:pPr>
        <w:tabs>
          <w:tab w:val="left" w:pos="43"/>
          <w:tab w:val="left" w:pos="681"/>
        </w:tabs>
        <w:autoSpaceDE w:val="0"/>
        <w:autoSpaceDN w:val="0"/>
        <w:adjustRightInd w:val="0"/>
        <w:spacing w:before="100" w:beforeAutospacing="1"/>
        <w:ind w:firstLine="709"/>
        <w:contextualSpacing/>
        <w:jc w:val="both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Начало работ - день подписания контракта.</w:t>
      </w:r>
    </w:p>
    <w:p w14:paraId="6C1B0722">
      <w:pPr>
        <w:widowControl w:val="0"/>
        <w:spacing w:before="100" w:beforeAutospacing="1"/>
        <w:ind w:firstLine="709"/>
        <w:contextualSpacing/>
        <w:jc w:val="both"/>
        <w:outlineLvl w:val="0"/>
        <w:rPr>
          <w:bCs/>
          <w:spacing w:val="2"/>
          <w:sz w:val="26"/>
          <w:szCs w:val="26"/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Окончание работ - </w:t>
      </w:r>
      <w:r>
        <w:rPr>
          <w:sz w:val="26"/>
          <w:szCs w:val="26"/>
        </w:rPr>
        <w:t xml:space="preserve">15 декабря  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2024 года</w:t>
      </w:r>
      <w:r>
        <w:rPr>
          <w:bCs/>
          <w:spacing w:val="2"/>
          <w:sz w:val="26"/>
          <w:szCs w:val="26"/>
        </w:rPr>
        <w:t>.</w:t>
      </w:r>
    </w:p>
    <w:p w14:paraId="5471AA78">
      <w:pPr>
        <w:pStyle w:val="21"/>
        <w:spacing w:before="100" w:beforeAutospacing="1"/>
        <w:ind w:firstLine="0"/>
        <w:contextualSpacing/>
        <w:jc w:val="both"/>
        <w:rPr>
          <w:sz w:val="26"/>
          <w:szCs w:val="26"/>
          <w:shd w:val="clear" w:color="auto" w:fill="FFFFFF"/>
        </w:rPr>
      </w:pPr>
    </w:p>
    <w:p w14:paraId="7AFF5FFE">
      <w:pPr>
        <w:pStyle w:val="21"/>
        <w:spacing w:before="100" w:beforeAutospacing="1"/>
        <w:ind w:firstLine="0"/>
        <w:contextualSpacing/>
        <w:jc w:val="both"/>
        <w:rPr>
          <w:sz w:val="26"/>
          <w:szCs w:val="26"/>
          <w:shd w:val="clear" w:color="auto" w:fill="FFFFFF"/>
        </w:rPr>
      </w:pPr>
    </w:p>
    <w:tbl>
      <w:tblPr>
        <w:tblStyle w:val="13"/>
        <w:tblpPr w:leftFromText="180" w:rightFromText="180" w:vertAnchor="page" w:horzAnchor="margin" w:tblpY="3031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3240"/>
        <w:gridCol w:w="3050"/>
        <w:gridCol w:w="2299"/>
      </w:tblGrid>
      <w:tr w14:paraId="1B172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49726">
            <w:pPr>
              <w:pStyle w:val="30"/>
              <w:spacing w:before="100" w:beforeAutospacing="1"/>
              <w:ind w:firstLine="709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7781B">
            <w:pPr>
              <w:pStyle w:val="30"/>
              <w:spacing w:before="100" w:beforeAutospacing="1"/>
              <w:ind w:firstLine="709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75B7B">
            <w:pPr>
              <w:pStyle w:val="30"/>
              <w:spacing w:before="100" w:beforeAutospacing="1"/>
              <w:ind w:firstLine="709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Сроки начала работ</w:t>
            </w:r>
          </w:p>
        </w:tc>
        <w:tc>
          <w:tcPr>
            <w:tcW w:w="2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D55F4">
            <w:pPr>
              <w:pStyle w:val="30"/>
              <w:spacing w:before="100" w:beforeAutospacing="1"/>
              <w:ind w:firstLine="709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Сроки окончания работ</w:t>
            </w:r>
          </w:p>
        </w:tc>
      </w:tr>
      <w:tr w14:paraId="53DD7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F8361">
            <w:pPr>
              <w:pStyle w:val="30"/>
              <w:spacing w:before="100" w:beforeAutospacing="1"/>
              <w:ind w:firstLine="709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F00CF5">
            <w:pPr>
              <w:spacing w:before="100" w:beforeAutospacing="1"/>
              <w:ind w:firstLine="709"/>
              <w:contextualSpacing/>
              <w:jc w:val="both"/>
              <w:rPr>
                <w:lang w:eastAsia="en-US"/>
              </w:rPr>
            </w:pPr>
            <w:r>
              <w:rPr>
                <w:b/>
                <w:lang w:eastAsia="ru-RU"/>
              </w:rPr>
              <w:t>Выполнение проектно-изыскательских работ и разработка ПСД по объекту: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«</w:t>
            </w:r>
            <w:r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Проектирование и реконструкция строящихся сооружений НФС в  г. Кинель Самарской области» 1 этап</w:t>
            </w:r>
          </w:p>
        </w:tc>
        <w:tc>
          <w:tcPr>
            <w:tcW w:w="3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E0259">
            <w:pPr>
              <w:pStyle w:val="30"/>
              <w:spacing w:before="100" w:beforeAutospacing="1"/>
              <w:ind w:firstLine="709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 даты заключения контракта 2023г</w:t>
            </w:r>
          </w:p>
        </w:tc>
        <w:tc>
          <w:tcPr>
            <w:tcW w:w="2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CE72D">
            <w:pPr>
              <w:pStyle w:val="30"/>
              <w:spacing w:before="100" w:beforeAutospacing="1"/>
              <w:ind w:firstLine="709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Декабрь 2023 г</w:t>
            </w:r>
          </w:p>
        </w:tc>
      </w:tr>
      <w:tr w14:paraId="3E87A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</w:trPr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E59CB">
            <w:pPr>
              <w:pStyle w:val="30"/>
              <w:spacing w:before="100" w:beforeAutospacing="1"/>
              <w:ind w:firstLine="709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7A65A">
            <w:pPr>
              <w:spacing w:before="100" w:beforeAutospacing="1"/>
              <w:ind w:firstLine="709"/>
              <w:contextualSpacing/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Выполнение проектно-изыскательских работ и разработка ПСД по объекту: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«</w:t>
            </w:r>
            <w:r>
              <w:rPr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Проектирование и реконструкция строящихся сооружений НФС в  г. Кинель Самарской области» 2 этап</w:t>
            </w:r>
          </w:p>
        </w:tc>
        <w:tc>
          <w:tcPr>
            <w:tcW w:w="3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8589DC">
            <w:pPr>
              <w:pStyle w:val="30"/>
              <w:spacing w:before="100" w:beforeAutospacing="1"/>
              <w:ind w:firstLine="709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Январь 2024 г</w:t>
            </w:r>
          </w:p>
        </w:tc>
        <w:tc>
          <w:tcPr>
            <w:tcW w:w="2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69B7B">
            <w:pPr>
              <w:pStyle w:val="30"/>
              <w:spacing w:before="100" w:beforeAutospacing="1"/>
              <w:ind w:firstLine="709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Декабрь 2024 г</w:t>
            </w:r>
          </w:p>
        </w:tc>
      </w:tr>
    </w:tbl>
    <w:p w14:paraId="192A926B">
      <w:pPr>
        <w:pStyle w:val="21"/>
        <w:spacing w:before="100" w:beforeAutospacing="1"/>
        <w:ind w:firstLine="709"/>
        <w:contextualSpacing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Срок исполнения Контракта продлен до 31.12.2025 (ДС №4 от 21.11.2024).</w:t>
      </w:r>
    </w:p>
    <w:p w14:paraId="6C7F97B7">
      <w:pPr>
        <w:pStyle w:val="21"/>
        <w:spacing w:before="100" w:beforeAutospacing="1"/>
        <w:ind w:firstLine="709"/>
        <w:contextualSpacing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Частью 8 статьи 95 Закона о контрактной системе установлено, что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14:paraId="75EC2F54">
      <w:pPr>
        <w:pStyle w:val="21"/>
        <w:spacing w:before="100" w:beforeAutospacing="1"/>
        <w:ind w:firstLine="709"/>
        <w:contextualSpacing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В силу части 19 статьи 95 Закона о контрактной системе поставщик (подрядчик, исполнитель)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если в контракте было предусмотрено право заказчика принять решение об одностороннем отказе от исполнения контракта.</w:t>
      </w:r>
    </w:p>
    <w:p w14:paraId="58DA9D8D">
      <w:pPr>
        <w:pStyle w:val="21"/>
        <w:spacing w:before="100" w:beforeAutospacing="1"/>
        <w:ind w:firstLine="709"/>
        <w:contextualSpacing/>
        <w:jc w:val="both"/>
        <w:rPr>
          <w:color w:val="141618"/>
          <w:spacing w:val="-4"/>
          <w:sz w:val="26"/>
          <w:szCs w:val="26"/>
          <w:lang w:eastAsia="en-US"/>
        </w:rPr>
      </w:pPr>
      <w:r>
        <w:rPr>
          <w:sz w:val="26"/>
          <w:szCs w:val="26"/>
        </w:rPr>
        <w:t xml:space="preserve">Пунктом 12.3 Контракта установлено, что </w:t>
      </w:r>
      <w:r>
        <w:rPr>
          <w:color w:val="141618"/>
          <w:spacing w:val="-4"/>
          <w:sz w:val="26"/>
          <w:szCs w:val="26"/>
          <w:lang w:eastAsia="en-US"/>
        </w:rPr>
        <w:t xml:space="preserve">расторжение контракта допускается по соглашению сторон, на основании решения суда, в случае одностороннего отказа одной из сторон от исполнения контракта в случаях, когда такой отказ допускается в соответствии с законодательством Российской Федерации и условиями контракта. </w:t>
      </w:r>
    </w:p>
    <w:p w14:paraId="630B657B">
      <w:pPr>
        <w:pStyle w:val="31"/>
        <w:widowControl w:val="0"/>
        <w:tabs>
          <w:tab w:val="left" w:pos="1418"/>
        </w:tabs>
        <w:spacing w:before="0"/>
        <w:ind w:firstLine="709"/>
        <w:contextualSpacing/>
        <w:outlineLvl w:val="0"/>
        <w:rPr>
          <w:color w:val="auto"/>
          <w:spacing w:val="-2"/>
          <w:sz w:val="26"/>
          <w:szCs w:val="26"/>
        </w:rPr>
      </w:pPr>
      <w:r>
        <w:rPr>
          <w:sz w:val="26"/>
          <w:szCs w:val="26"/>
        </w:rPr>
        <w:t xml:space="preserve">Согласно пункту 12.4 Контракта, </w:t>
      </w:r>
      <w:r>
        <w:rPr>
          <w:color w:val="auto"/>
          <w:sz w:val="26"/>
          <w:szCs w:val="26"/>
        </w:rPr>
        <w:t>Заказчик вправе в одностороннем порядке отказать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в случаях (включая, но не ограничиваясь):</w:t>
      </w:r>
    </w:p>
    <w:p w14:paraId="474111F3">
      <w:pPr>
        <w:pStyle w:val="31"/>
        <w:widowControl w:val="0"/>
        <w:numPr>
          <w:ilvl w:val="0"/>
          <w:numId w:val="1"/>
        </w:numPr>
        <w:tabs>
          <w:tab w:val="left" w:pos="0"/>
        </w:tabs>
        <w:spacing w:before="100" w:beforeAutospacing="1"/>
        <w:ind w:left="0" w:firstLine="709"/>
        <w:contextualSpacing/>
        <w:outlineLvl w:val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если Подрядчик не приступает своевременно к исполнению Контракта или выполняет Работы настолько медленно, что завершение Работ к установленному в Контракте сроку становится явно невозможным;</w:t>
      </w:r>
    </w:p>
    <w:p w14:paraId="265A7131">
      <w:pPr>
        <w:pStyle w:val="31"/>
        <w:widowControl w:val="0"/>
        <w:numPr>
          <w:ilvl w:val="0"/>
          <w:numId w:val="1"/>
        </w:numPr>
        <w:tabs>
          <w:tab w:val="left" w:pos="0"/>
        </w:tabs>
        <w:spacing w:before="100" w:beforeAutospacing="1"/>
        <w:ind w:left="0" w:firstLine="709"/>
        <w:contextualSpacing/>
        <w:outlineLvl w:val="0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eastAsia="ru-RU"/>
        </w:rPr>
        <w:t xml:space="preserve">если во время выполнения Работ стало очевидным, что они не будут выполнены надлежащим образом, и </w:t>
      </w:r>
      <w:r>
        <w:rPr>
          <w:color w:val="auto"/>
          <w:sz w:val="26"/>
          <w:szCs w:val="26"/>
        </w:rPr>
        <w:t xml:space="preserve">Подрядчик </w:t>
      </w:r>
      <w:r>
        <w:rPr>
          <w:color w:val="auto"/>
          <w:sz w:val="26"/>
          <w:szCs w:val="26"/>
          <w:lang w:eastAsia="ru-RU"/>
        </w:rPr>
        <w:t>не устранил Недостатки Проектной в назначенный срок после получения требования об их устранении от Заказчика;</w:t>
      </w:r>
    </w:p>
    <w:p w14:paraId="79040A5C">
      <w:pPr>
        <w:pStyle w:val="31"/>
        <w:widowControl w:val="0"/>
        <w:numPr>
          <w:ilvl w:val="0"/>
          <w:numId w:val="1"/>
        </w:numPr>
        <w:tabs>
          <w:tab w:val="left" w:pos="0"/>
        </w:tabs>
        <w:spacing w:before="100" w:beforeAutospacing="1"/>
        <w:ind w:left="0" w:firstLine="709"/>
        <w:contextualSpacing/>
        <w:outlineLvl w:val="0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eastAsia="ru-RU"/>
        </w:rPr>
        <w:t>если отступления в Работах от условий Контракта или иные недостатки Результата Работ в установленный Заказчиком разумный срок не были устранены либо являются существенными и неустранимыми.</w:t>
      </w:r>
    </w:p>
    <w:p w14:paraId="3A1EDF51">
      <w:pPr>
        <w:widowControl w:val="0"/>
        <w:ind w:firstLine="709"/>
        <w:contextualSpacing/>
        <w:jc w:val="both"/>
        <w:rPr>
          <w:bCs/>
          <w:sz w:val="26"/>
          <w:szCs w:val="26"/>
          <w:lang w:eastAsia="ru-RU"/>
        </w:rPr>
      </w:pPr>
      <w:r>
        <w:rPr>
          <w:sz w:val="26"/>
          <w:szCs w:val="26"/>
        </w:rPr>
        <w:t>Частью 12.1 статьи 95 Закона о контрактной системе определено, что в случае принятия заказчиком, предусмотренного частью 9 настоящей статьи, решения об одностороннем отказе от исполнения контракта, заключенного по результатам проведения электронных процедур, закрытых электронных процедур:</w:t>
      </w:r>
    </w:p>
    <w:p w14:paraId="4D6A0BCE">
      <w:pPr>
        <w:numPr>
          <w:ilvl w:val="0"/>
          <w:numId w:val="2"/>
        </w:numPr>
        <w:suppressAutoHyphens w:val="0"/>
        <w:spacing w:before="100" w:beforeAutospacing="1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заказчик с использованием единой информационной системы формирует </w:t>
      </w:r>
      <w:r>
        <w:rPr>
          <w:sz w:val="26"/>
          <w:szCs w:val="26"/>
        </w:rPr>
        <w:drawing>
          <wp:inline distT="0" distB="0" distL="0" distR="0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>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предусмотренных частью 5 статьи 103 настоящего Федерального закона, такое решение не размещается на официальном сайте;</w:t>
      </w:r>
    </w:p>
    <w:p w14:paraId="7853AE75">
      <w:pPr>
        <w:numPr>
          <w:ilvl w:val="0"/>
          <w:numId w:val="2"/>
        </w:numPr>
        <w:suppressAutoHyphens w:val="0"/>
        <w:spacing w:before="100" w:beforeAutospacing="1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</w:t>
      </w:r>
      <w:r>
        <w:rPr>
          <w:sz w:val="26"/>
          <w:szCs w:val="26"/>
        </w:rPr>
        <w:drawing>
          <wp:inline distT="0" distB="0" distL="0" distR="0">
            <wp:extent cx="9525" cy="9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пунктом 1 настоящей части автоматически с использованием единой информационной </w:t>
      </w:r>
      <w:r>
        <w:rPr>
          <w:sz w:val="26"/>
          <w:szCs w:val="26"/>
        </w:rPr>
        <w:drawing>
          <wp:inline distT="0" distB="0" distL="0" distR="0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>системы направляется поставщику (подрядчику, исполнителю). Датой поступления поставщику (подрядчику, исполнителю)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зоной, в которой расположен поставщик (подрядчик, исполнитель);</w:t>
      </w:r>
    </w:p>
    <w:p w14:paraId="3D58A96D">
      <w:pPr>
        <w:numPr>
          <w:ilvl w:val="0"/>
          <w:numId w:val="2"/>
        </w:numPr>
        <w:suppressAutoHyphens w:val="0"/>
        <w:spacing w:before="100" w:beforeAutospacing="1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(подрядчика, исполнителя) об одностороннем отказе от исполнения контракта.</w:t>
      </w:r>
      <w:r>
        <w:rPr>
          <w:sz w:val="26"/>
          <w:szCs w:val="26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6323330</wp:posOffset>
            </wp:positionH>
            <wp:positionV relativeFrom="paragraph">
              <wp:posOffset>386715</wp:posOffset>
            </wp:positionV>
            <wp:extent cx="4445" cy="444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6"/>
          <w:szCs w:val="26"/>
        </w:rPr>
        <w:t xml:space="preserve"> </w:t>
      </w:r>
    </w:p>
    <w:p w14:paraId="494A1545">
      <w:pPr>
        <w:widowControl w:val="0"/>
        <w:spacing w:before="100" w:beforeAutospacing="1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В соответствии с частью 13 статьи 95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  <w:r>
        <w:rPr>
          <w:sz w:val="26"/>
          <w:szCs w:val="26"/>
          <w:lang w:eastAsia="ru-RU"/>
        </w:rPr>
        <w:t xml:space="preserve"> </w:t>
      </w:r>
    </w:p>
    <w:p w14:paraId="3EA73AC2">
      <w:pPr>
        <w:suppressAutoHyphens w:val="0"/>
        <w:spacing w:before="100" w:beforeAutospacing="1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Согласно части 14 статьи 95 Закона о контрактной системе, 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(подрядчика, исполнителя)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заказчику компенсированы затраты на проведение экспертизы в соответствии с ч. 10 настоящей статьи. Данное правило не применяется в случае повторного нарушения поставщиком (подрядчиком, исполнителем) условий контракта, которые в соответствии с гражданским законодательством являются основанием для одностороннего отказа заказчика от исполнения контракта.</w:t>
      </w:r>
    </w:p>
    <w:p w14:paraId="6D0BFC55">
      <w:pPr>
        <w:suppressAutoHyphens w:val="0"/>
        <w:spacing w:before="100" w:beforeAutospacing="1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11.09.2025 </w:t>
      </w:r>
      <w:r>
        <w:rPr>
          <w:sz w:val="26"/>
          <w:szCs w:val="26"/>
          <w:lang w:eastAsia="ru-RU"/>
        </w:rPr>
        <w:t xml:space="preserve">Заказчиком принято решение об одностороннем отказе от исполнения Контракта № </w:t>
      </w:r>
      <w:r>
        <w:rPr>
          <w:sz w:val="26"/>
          <w:szCs w:val="26"/>
        </w:rPr>
        <w:t>1140</w:t>
      </w:r>
      <w:r>
        <w:rPr>
          <w:sz w:val="26"/>
          <w:szCs w:val="26"/>
          <w:lang w:eastAsia="ru-RU"/>
        </w:rPr>
        <w:t>.</w:t>
      </w:r>
    </w:p>
    <w:p w14:paraId="7FDC45B5">
      <w:pPr>
        <w:suppressAutoHyphens w:val="0"/>
        <w:spacing w:before="100" w:beforeAutospacing="1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Учитывая, что 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Подрядчиком </w:t>
      </w:r>
      <w:r>
        <w:rPr>
          <w:sz w:val="26"/>
          <w:szCs w:val="26"/>
          <w:lang w:eastAsia="ru-RU"/>
        </w:rPr>
        <w:t xml:space="preserve">предприняты действия, направленные на исполнение условий Контракта, Заказчик </w:t>
      </w:r>
      <w:r>
        <w:rPr>
          <w:sz w:val="26"/>
          <w:szCs w:val="26"/>
        </w:rPr>
        <w:t>19.09.2025</w:t>
      </w:r>
      <w:r>
        <w:rPr>
          <w:sz w:val="26"/>
          <w:szCs w:val="26"/>
          <w:lang w:eastAsia="ru-RU"/>
        </w:rPr>
        <w:t xml:space="preserve"> принял решение об отмене решения об одностороннем отказе </w:t>
      </w:r>
      <w:r>
        <w:rPr>
          <w:sz w:val="26"/>
          <w:szCs w:val="26"/>
        </w:rPr>
        <w:t>№ 1162</w:t>
      </w:r>
      <w:r>
        <w:rPr>
          <w:sz w:val="26"/>
          <w:szCs w:val="26"/>
          <w:lang w:eastAsia="ru-RU"/>
        </w:rPr>
        <w:t>.</w:t>
      </w:r>
    </w:p>
    <w:p w14:paraId="406B3933">
      <w:pPr>
        <w:suppressAutoHyphens w:val="0"/>
        <w:spacing w:before="100" w:beforeAutospacing="1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>29.09.2025</w:t>
      </w:r>
      <w:r>
        <w:rPr>
          <w:sz w:val="26"/>
          <w:szCs w:val="26"/>
          <w:lang w:eastAsia="ru-RU"/>
        </w:rPr>
        <w:t xml:space="preserve"> заказчиком повторно размещено решение об одностороннем отказе от исполнения Контракта </w:t>
      </w:r>
      <w:r>
        <w:rPr>
          <w:sz w:val="26"/>
          <w:szCs w:val="26"/>
        </w:rPr>
        <w:t>№ 1194</w:t>
      </w:r>
      <w:r>
        <w:rPr>
          <w:sz w:val="26"/>
          <w:szCs w:val="26"/>
          <w:lang w:eastAsia="ru-RU"/>
        </w:rPr>
        <w:t>.</w:t>
      </w:r>
    </w:p>
    <w:p w14:paraId="1E7772F9">
      <w:pPr>
        <w:ind w:firstLine="709"/>
        <w:contextualSpacing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</w:rPr>
        <w:t>29.09.2025 Решение об одностороннем отказе Заказчика от исполнения контракта размещено в ЕИС, вступило в законную силу 10.10.2025.</w:t>
      </w:r>
      <w:r>
        <w:rPr>
          <w:sz w:val="26"/>
          <w:szCs w:val="26"/>
          <w:shd w:val="clear" w:color="auto" w:fill="FFFFFF"/>
        </w:rPr>
        <w:t xml:space="preserve"> </w:t>
      </w:r>
    </w:p>
    <w:p w14:paraId="2C242964">
      <w:pPr>
        <w:pStyle w:val="31"/>
        <w:widowControl w:val="0"/>
        <w:tabs>
          <w:tab w:val="left" w:pos="0"/>
        </w:tabs>
        <w:spacing w:before="0"/>
        <w:ind w:firstLine="709"/>
        <w:contextualSpacing/>
        <w:outlineLvl w:val="0"/>
        <w:rPr>
          <w:rFonts w:eastAsiaTheme="minorHAnsi"/>
          <w:color w:val="000000"/>
          <w:sz w:val="26"/>
          <w:szCs w:val="26"/>
        </w:rPr>
      </w:pPr>
      <w:r>
        <w:rPr>
          <w:sz w:val="26"/>
          <w:szCs w:val="26"/>
        </w:rPr>
        <w:t xml:space="preserve">Согласно позиции Заказчика (вх. №15138-ЭП/25), </w:t>
      </w:r>
      <w:r>
        <w:rPr>
          <w:rFonts w:eastAsiaTheme="minorHAnsi"/>
          <w:color w:val="000000"/>
          <w:sz w:val="26"/>
          <w:szCs w:val="26"/>
        </w:rPr>
        <w:t>Подрядчик к исполнению Контракта не приступил.</w:t>
      </w:r>
    </w:p>
    <w:p w14:paraId="0254AB49">
      <w:pPr>
        <w:suppressAutoHyphens w:val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Заказчик также не настаивал на включении сведений об Обществе в реестр недобросовестных поставщиков.</w:t>
      </w:r>
    </w:p>
    <w:p w14:paraId="62DD1273">
      <w:pPr>
        <w:suppressAutoHyphens w:val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Согласно пояснениям Подрядчика (вх. №№15105-ЭП/25, 15257-ЭП/25, 15253-ЭП/25, 15264-ЭП/25) в период исполнения Контракта выполнено следующее:</w:t>
      </w:r>
    </w:p>
    <w:p w14:paraId="5776A3BE">
      <w:pPr>
        <w:suppressAutoHyphens w:val="0"/>
        <w:ind w:firstLine="709"/>
        <w:contextualSpacing/>
        <w:jc w:val="both"/>
        <w:rPr>
          <w:i/>
          <w:iCs/>
          <w:sz w:val="26"/>
          <w:szCs w:val="26"/>
          <w:lang w:eastAsia="ru-RU"/>
        </w:rPr>
      </w:pPr>
      <w:r>
        <w:rPr>
          <w:i/>
          <w:iCs/>
          <w:sz w:val="26"/>
          <w:szCs w:val="26"/>
          <w:lang w:eastAsia="ru-RU"/>
        </w:rPr>
        <w:t>6.1. Объект 1 «НФС». Этап I строительства.</w:t>
      </w:r>
    </w:p>
    <w:p w14:paraId="7D74A2D9">
      <w:pPr>
        <w:suppressAutoHyphens w:val="0"/>
        <w:ind w:firstLine="709"/>
        <w:contextualSpacing/>
        <w:jc w:val="both"/>
        <w:rPr>
          <w:i/>
          <w:iCs/>
          <w:sz w:val="26"/>
          <w:szCs w:val="26"/>
          <w:lang w:eastAsia="ru-RU"/>
        </w:rPr>
      </w:pPr>
      <w:r>
        <w:rPr>
          <w:i/>
          <w:iCs/>
          <w:sz w:val="26"/>
          <w:szCs w:val="26"/>
          <w:lang w:eastAsia="ru-RU"/>
        </w:rPr>
        <w:t>Подрядчик в 2023 году выполнил инженерные изыскания, обследование технического состояния зданий и сооружений.</w:t>
      </w:r>
    </w:p>
    <w:p w14:paraId="7E9859DC">
      <w:pPr>
        <w:suppressAutoHyphens w:val="0"/>
        <w:ind w:firstLine="709"/>
        <w:contextualSpacing/>
        <w:jc w:val="both"/>
        <w:rPr>
          <w:i/>
          <w:iCs/>
          <w:sz w:val="26"/>
          <w:szCs w:val="26"/>
          <w:lang w:eastAsia="ru-RU"/>
        </w:rPr>
      </w:pPr>
      <w:r>
        <w:rPr>
          <w:i/>
          <w:iCs/>
          <w:sz w:val="26"/>
          <w:szCs w:val="26"/>
          <w:lang w:eastAsia="ru-RU"/>
        </w:rPr>
        <w:t>Подрядчик в 2024 году разработал Основные технические решения (ОТР), в которых рассмотрел три различных варианта реализации проектируемого объекта: с использованием существующих сооружений (недостроя) со старой технологией и два альтернативных варианта с современной технологической схемой и оборудованием.</w:t>
      </w:r>
    </w:p>
    <w:p w14:paraId="35BC5704">
      <w:pPr>
        <w:suppressAutoHyphens w:val="0"/>
        <w:ind w:firstLine="709"/>
        <w:contextualSpacing/>
        <w:jc w:val="both"/>
        <w:rPr>
          <w:i/>
          <w:iCs/>
          <w:sz w:val="26"/>
          <w:szCs w:val="26"/>
          <w:lang w:eastAsia="ru-RU"/>
        </w:rPr>
      </w:pPr>
      <w:r>
        <w:rPr>
          <w:i/>
          <w:iCs/>
          <w:sz w:val="26"/>
          <w:szCs w:val="26"/>
          <w:lang w:eastAsia="ru-RU"/>
        </w:rPr>
        <w:t>По каждому варианту Подрядчик провел анализ преимуществ и недостатков в части технологии и условий эксплуатации, сравнение технико-экономических показателей в части капитальных и эксплуатационных затрат по всем трем вариантам реализации проекта и предложил Заказчику применить в проекте новую технологическую схему (лист 51 ОТР – Приложение №8 к Пояснениям).</w:t>
      </w:r>
    </w:p>
    <w:p w14:paraId="12CF3471">
      <w:pPr>
        <w:suppressAutoHyphens w:val="0"/>
        <w:ind w:firstLine="709"/>
        <w:contextualSpacing/>
        <w:jc w:val="both"/>
        <w:rPr>
          <w:i/>
          <w:iCs/>
          <w:sz w:val="26"/>
          <w:szCs w:val="26"/>
          <w:lang w:eastAsia="ru-RU"/>
        </w:rPr>
      </w:pPr>
      <w:r>
        <w:rPr>
          <w:i/>
          <w:iCs/>
          <w:sz w:val="26"/>
          <w:szCs w:val="26"/>
          <w:lang w:eastAsia="ru-RU"/>
        </w:rPr>
        <w:t>6.2. Объект «Водовод». Этап II строительства.</w:t>
      </w:r>
    </w:p>
    <w:p w14:paraId="321B81E2">
      <w:pPr>
        <w:suppressAutoHyphens w:val="0"/>
        <w:ind w:firstLine="709"/>
        <w:contextualSpacing/>
        <w:jc w:val="both"/>
        <w:rPr>
          <w:i/>
          <w:iCs/>
          <w:sz w:val="26"/>
          <w:szCs w:val="26"/>
          <w:lang w:eastAsia="ru-RU"/>
        </w:rPr>
      </w:pPr>
      <w:r>
        <w:rPr>
          <w:i/>
          <w:iCs/>
          <w:sz w:val="26"/>
          <w:szCs w:val="26"/>
          <w:lang w:eastAsia="ru-RU"/>
        </w:rPr>
        <w:t>Подрядчик проработал трассу новых магистральных водоводов от НФС до конечных точек подключения с координатами, предоставленными Заказчиком письмо исх.№1620 от 04.12.2023 (Приложение № 9 к Пояснениям).</w:t>
      </w:r>
    </w:p>
    <w:p w14:paraId="645282BB">
      <w:pPr>
        <w:suppressAutoHyphens w:val="0"/>
        <w:ind w:firstLine="709"/>
        <w:contextualSpacing/>
        <w:jc w:val="both"/>
        <w:rPr>
          <w:i/>
          <w:iCs/>
          <w:sz w:val="26"/>
          <w:szCs w:val="26"/>
          <w:lang w:eastAsia="ru-RU"/>
        </w:rPr>
      </w:pPr>
      <w:r>
        <w:rPr>
          <w:i/>
          <w:iCs/>
          <w:sz w:val="26"/>
          <w:szCs w:val="26"/>
          <w:lang w:eastAsia="ru-RU"/>
        </w:rPr>
        <w:t>При этом длина трассы проектируемых водоводов увеличилась на 40% по отношению от указанной в ТЗ к Контракту (12,1 км вместо 7,6 км) (Письмо Подрядчика №24/04/289 от 18.04.2024 Приложение №10 к Пояснениям).</w:t>
      </w:r>
    </w:p>
    <w:p w14:paraId="4C6E32A6">
      <w:pPr>
        <w:suppressAutoHyphens w:val="0"/>
        <w:ind w:firstLine="709"/>
        <w:contextualSpacing/>
        <w:jc w:val="both"/>
        <w:rPr>
          <w:i/>
          <w:iCs/>
          <w:sz w:val="26"/>
          <w:szCs w:val="26"/>
          <w:lang w:eastAsia="ru-RU"/>
        </w:rPr>
      </w:pPr>
      <w:r>
        <w:rPr>
          <w:i/>
          <w:iCs/>
          <w:sz w:val="26"/>
          <w:szCs w:val="26"/>
          <w:lang w:eastAsia="ru-RU"/>
        </w:rPr>
        <w:t>По согласованной Заказчиком трассе Подрядчик выполнил все виды инженерных изысканий в полном объеме, разработал проектные решения.</w:t>
      </w:r>
    </w:p>
    <w:p w14:paraId="3A99E7AA">
      <w:pPr>
        <w:suppressAutoHyphens w:val="0"/>
        <w:ind w:firstLine="709"/>
        <w:contextualSpacing/>
        <w:jc w:val="both"/>
        <w:rPr>
          <w:i/>
          <w:iCs/>
          <w:sz w:val="26"/>
          <w:szCs w:val="26"/>
          <w:lang w:eastAsia="ru-RU"/>
        </w:rPr>
      </w:pPr>
      <w:r>
        <w:rPr>
          <w:i/>
          <w:iCs/>
          <w:sz w:val="26"/>
          <w:szCs w:val="26"/>
          <w:lang w:eastAsia="ru-RU"/>
        </w:rPr>
        <w:t>После этого, спустя 9 месяцев с момента заключения контракта, Заказчик изменил конечные точки подключения водоводов (письмо Заказчика исх.№1187 от 12.08.2024 - Приложение №11 к Пояснениям), что привело к корректировке проектной документации без возмещения дополнительных расходов Подрядчика.</w:t>
      </w:r>
    </w:p>
    <w:p w14:paraId="3D594B09">
      <w:pPr>
        <w:suppressAutoHyphens w:val="0"/>
        <w:ind w:firstLine="709"/>
        <w:contextualSpacing/>
        <w:jc w:val="both"/>
        <w:rPr>
          <w:i/>
          <w:iCs/>
          <w:sz w:val="26"/>
          <w:szCs w:val="26"/>
          <w:lang w:eastAsia="ru-RU"/>
        </w:rPr>
      </w:pPr>
      <w:r>
        <w:rPr>
          <w:i/>
          <w:iCs/>
          <w:sz w:val="26"/>
          <w:szCs w:val="26"/>
          <w:lang w:eastAsia="ru-RU"/>
        </w:rPr>
        <w:t>Также Заказчик неоднократно необоснованно требовал от Подрядчика выполнить работы, не входящие в объем работ согласно контракту: Разработать ППТ, ПМТ линейного объекта, выполнить работы по проектированию берегоукрепления выше по течению от водозабора, запроектировать дублирующую водозаборно-насосную станцию надводного типа (письма исх№680 от20.05.2024, исх.№1930 от 20.12.2024 - Приложение №№12,13 к Пояснениям).</w:t>
      </w:r>
    </w:p>
    <w:p w14:paraId="25A06FCA">
      <w:pPr>
        <w:suppressAutoHyphens w:val="0"/>
        <w:ind w:firstLine="709"/>
        <w:contextualSpacing/>
        <w:jc w:val="both"/>
        <w:rPr>
          <w:i/>
          <w:iCs/>
          <w:sz w:val="26"/>
          <w:szCs w:val="26"/>
          <w:lang w:eastAsia="ru-RU"/>
        </w:rPr>
      </w:pPr>
      <w:r>
        <w:rPr>
          <w:i/>
          <w:iCs/>
          <w:sz w:val="26"/>
          <w:szCs w:val="26"/>
          <w:lang w:eastAsia="ru-RU"/>
        </w:rPr>
        <w:t>На эти требования Подрядчик вынужден был ответить отказом (письма исх.№24/07/512 от 02.07.2024, исх.№24/12/1041 от 26.12.2024 - Приложение №14,15 к Пояснениям), учитывая отсутствие гарантий со стороны Заказчика по компенсации дополнительных затрат, а также понесенные ранее Подрядчиком дополнительные затраты, не предусмотренные Контрактом (описано выше).</w:t>
      </w:r>
    </w:p>
    <w:p w14:paraId="2969FE40">
      <w:pPr>
        <w:suppressAutoHyphens w:val="0"/>
        <w:ind w:firstLine="709"/>
        <w:contextualSpacing/>
        <w:jc w:val="both"/>
        <w:rPr>
          <w:i/>
          <w:iCs/>
          <w:sz w:val="26"/>
          <w:szCs w:val="26"/>
          <w:lang w:eastAsia="ru-RU"/>
        </w:rPr>
      </w:pPr>
      <w:r>
        <w:rPr>
          <w:i/>
          <w:iCs/>
          <w:sz w:val="26"/>
          <w:szCs w:val="26"/>
          <w:lang w:eastAsia="ru-RU"/>
        </w:rPr>
        <w:t>6.3. Подрядчик заключал за свой счет договоры с Государственной экспертизой на проведение консультаций с целью разбора сложных вопросов, в т.ч. решением которых должен заниматься Заказчик – место расположения водозабора, варианты оформления документов для обоснования списания непригодного оборудования, требования к наличию необходимых документов на объект незавершенного строительства и прочее (Договор №ПС_ПД_25637-23 от 30.11.2023, Договор №ПС_ПД_28021-24 от 02.12.2024 с ГАУ Самарской области «Государственная экспертиза проектов в строительстве» - Приложения №№16,17 к Пояснениям).</w:t>
      </w:r>
    </w:p>
    <w:p w14:paraId="683AC206">
      <w:pPr>
        <w:suppressAutoHyphens w:val="0"/>
        <w:ind w:firstLine="709"/>
        <w:contextualSpacing/>
        <w:jc w:val="both"/>
        <w:rPr>
          <w:i/>
          <w:iCs/>
          <w:sz w:val="26"/>
          <w:szCs w:val="26"/>
          <w:lang w:eastAsia="ru-RU"/>
        </w:rPr>
      </w:pPr>
      <w:r>
        <w:rPr>
          <w:i/>
          <w:iCs/>
          <w:sz w:val="26"/>
          <w:szCs w:val="26"/>
          <w:lang w:eastAsia="ru-RU"/>
        </w:rPr>
        <w:t>По результатам консультаций получены официальные ответы ГЭ (Приложения №№18,19 к Пояснениям).</w:t>
      </w:r>
    </w:p>
    <w:p w14:paraId="75E40489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Подрядчик считает, что выполнял свои обязательства надлежащим образом в соответствии с условиями Контракта и выразил несогласие с решением Заказчика об одностороннем отказе от исполнения Контракта.</w:t>
      </w:r>
    </w:p>
    <w:p w14:paraId="2FAFCB32">
      <w:pPr>
        <w:suppressAutoHyphens w:val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Частичное исполнение Обществом обязательств по Контракту подтверждается сведениями, содержащимися в ЕИС. При цене Контракта 51 700 000,00 руб., стоимость исполненных поставщиком (подрядчиком, исполнителем) обязательств составляет 13 564 132,00 руб., фактически оплачено 27 664 132,00 руб.</w:t>
      </w:r>
    </w:p>
    <w:p w14:paraId="784E2E75">
      <w:pPr>
        <w:suppressAutoHyphens w:val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Из представленных сторонами пояснений и документов следует, что Подрядчиком предпринимались действия, направленные на исполнение Контракта, о чем свидетельствует представленные материалы дела.</w:t>
      </w:r>
    </w:p>
    <w:p w14:paraId="35F3B1F3">
      <w:pPr>
        <w:suppressAutoHyphens w:val="0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действиях Общества отсутствуют признаки виновного поведения в виде бездействия, связанного с игнорированием взятых на себя обязательств по Контракту, а обстоятельства рассматриваемого дела в совокупности с представленными документами и сведениями не дают возможности прийти к однозначному выводу о нарушении условий Контракта, допущенных по вине Подрядчика.</w:t>
      </w:r>
    </w:p>
    <w:p w14:paraId="483AB00B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Обращений о включении Общества в реестр недобросовестных поставщиков (подрядчиков, исполнителей) ранее в Самарское УФАС России не поступало. </w:t>
      </w:r>
    </w:p>
    <w:p w14:paraId="598DA5BF">
      <w:pPr>
        <w:pStyle w:val="16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Комиссией Самарского УФАС России установлено, что в единой информационной системе в реестре контрактов содержатся сведения о добросовестном осуществлении Обществом предпринимательской деятельности, что подтверждается наличием контрактов, заключенных на основании Закона о контрактной системе, размещенных на официальном сайте zakupki.gov.ru.</w:t>
      </w:r>
    </w:p>
    <w:p w14:paraId="3EA8678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Из части 2 статьи 104 Закона о контрактной системе следует, что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5F985566">
      <w:pPr>
        <w:spacing w:before="100" w:beforeAutospacing="1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Основанием для включения информации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поведение, совершение им умышленных действий (бездействия) в противоречие требованиям Закона о контрактной системе, в том числе приведшее к невозможности заключения контракта с этим лицом как признанного победителем электронного аукциона и нарушающее права заказчика относительно условий (выявленных им как лучшие) и срока исполнения контракта, которые связаны, прежде всего, с эффективным использованием бюджетных средств и в предусмотренном бюджетным законодательством порядке заказчика о включении или не 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взаимосвязи. Закон о контрактной системе не содержит безусловной обязанности уполномоченного органа включать представленные Заказчиком сведения о подрядчике в соответствующий реестр без оценки его действий в каждом конкретном случае.</w:t>
      </w:r>
    </w:p>
    <w:p w14:paraId="2AC78058">
      <w:pPr>
        <w:suppressAutoHyphens w:val="0"/>
        <w:spacing w:before="100" w:beforeAutospacing="1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По смыслу статьи 55 Конституции Российской Федерации введение ответственности за правонарушение и установление конкретной санкции, ограничивающей конституционное право, исходя из общих принципов права, должно отвечать требованиям справедливости, быть соразмерным конституционно закрепляемым целям и охраняемым законным интересам, а также характеру совершенного деяния.</w:t>
      </w:r>
    </w:p>
    <w:p w14:paraId="3B02E18B">
      <w:pPr>
        <w:spacing w:before="100" w:beforeAutospacing="1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Согласно подпункту «а» пункта 15 Постановления № 1078 орган контроля принимает решение об отказе во включении информации о поставщике (подрядчике, исполнителе) в реестр в случае, если заказчик не подтвердил существенное нарушение со стороны поставщика, а также если поставщик доказал принятие мер для исполнения контракта либо наличие обстоятельств непреодолимой силы.</w:t>
      </w:r>
    </w:p>
    <w:p w14:paraId="038E635C">
      <w:pPr>
        <w:suppressAutoHyphens w:val="0"/>
        <w:spacing w:before="100" w:beforeAutospacing="1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Заказчиком не подтверждены факты существенного нарушения Подрядчиком условий Контракта.</w:t>
      </w:r>
    </w:p>
    <w:p w14:paraId="08866C09">
      <w:pPr>
        <w:suppressAutoHyphens w:val="0"/>
        <w:spacing w:before="100" w:beforeAutospacing="1"/>
        <w:ind w:firstLine="709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Подрядчиком представлены информация и документы, подтверждающие принятие им мер для надлежащего исполнения условий Контракта </w:t>
      </w:r>
    </w:p>
    <w:p w14:paraId="6E4EAD6F">
      <w:pPr>
        <w:spacing w:before="100" w:beforeAutospacing="1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 рассматриваемом случае Комиссия Самарского УФАС России не имеет достаточных оснований для включения информации об Обществе в реестр недобросовестных поставщиков.</w:t>
      </w:r>
    </w:p>
    <w:p w14:paraId="0FF6AC51">
      <w:pPr>
        <w:widowControl w:val="0"/>
        <w:spacing w:before="100" w:beforeAutospacing="1"/>
        <w:ind w:firstLine="709"/>
        <w:contextualSpacing/>
        <w:jc w:val="both"/>
        <w:rPr>
          <w:sz w:val="26"/>
          <w:szCs w:val="26"/>
        </w:rPr>
      </w:pPr>
    </w:p>
    <w:p w14:paraId="3D2EA052">
      <w:pPr>
        <w:suppressAutoHyphens w:val="0"/>
        <w:spacing w:before="100" w:beforeAutospacing="1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вышеизложенного, Комиссия Самарского УФАС России</w:t>
      </w:r>
    </w:p>
    <w:p w14:paraId="059093C0">
      <w:pPr>
        <w:suppressAutoHyphens w:val="0"/>
        <w:ind w:firstLine="709"/>
        <w:jc w:val="both"/>
        <w:rPr>
          <w:sz w:val="26"/>
          <w:szCs w:val="26"/>
        </w:rPr>
      </w:pPr>
    </w:p>
    <w:p w14:paraId="4E265566">
      <w:pPr>
        <w:suppressAutoHyphens w:val="0"/>
        <w:jc w:val="center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14:paraId="1B7159BB">
      <w:pPr>
        <w:pStyle w:val="10"/>
        <w:tabs>
          <w:tab w:val="left" w:pos="284"/>
        </w:tabs>
        <w:ind w:firstLine="0"/>
        <w:rPr>
          <w:sz w:val="26"/>
          <w:szCs w:val="26"/>
          <w:lang w:eastAsia="ru-RU"/>
        </w:rPr>
      </w:pPr>
    </w:p>
    <w:p w14:paraId="46406B1F">
      <w:pPr>
        <w:widowControl w:val="0"/>
        <w:ind w:firstLine="709"/>
        <w:jc w:val="both"/>
        <w:rPr>
          <w:kern w:val="3"/>
          <w:sz w:val="26"/>
          <w:szCs w:val="26"/>
          <w:lang w:eastAsia="ja-JP" w:bidi="fa-IR"/>
        </w:rPr>
      </w:pPr>
      <w:r>
        <w:rPr>
          <w:sz w:val="26"/>
          <w:szCs w:val="26"/>
        </w:rPr>
        <w:t xml:space="preserve">Информацию об </w:t>
      </w:r>
      <w:r>
        <w:rPr>
          <w:kern w:val="3"/>
          <w:sz w:val="26"/>
          <w:szCs w:val="26"/>
          <w:lang w:eastAsia="ja-JP" w:bidi="fa-IR"/>
        </w:rPr>
        <w:t xml:space="preserve">ООО «Комплексные проекты в экологии и энергетике» </w:t>
      </w:r>
      <w:r>
        <w:rPr>
          <w:sz w:val="26"/>
          <w:szCs w:val="26"/>
        </w:rPr>
        <w:t>в реестр недобросовестных поставщиков не включать.</w:t>
      </w:r>
    </w:p>
    <w:p w14:paraId="691C5D1E">
      <w:pPr>
        <w:pStyle w:val="10"/>
        <w:tabs>
          <w:tab w:val="left" w:pos="284"/>
        </w:tabs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Настоящее решение может быть обжаловано в судебном порядке в течение трех месяцев со дня его принятия.</w:t>
      </w:r>
    </w:p>
    <w:p w14:paraId="46B420B4">
      <w:pPr>
        <w:widowControl w:val="0"/>
        <w:tabs>
          <w:tab w:val="left" w:pos="8222"/>
        </w:tabs>
        <w:rPr>
          <w:sz w:val="26"/>
          <w:szCs w:val="26"/>
        </w:rPr>
      </w:pPr>
    </w:p>
    <w:p w14:paraId="405A1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6"/>
          <w:szCs w:val="26"/>
          <w:lang w:eastAsia="ru-RU"/>
        </w:rPr>
      </w:pPr>
    </w:p>
    <w:sectPr>
      <w:headerReference r:id="rId5" w:type="default"/>
      <w:pgSz w:w="11906" w:h="16838"/>
      <w:pgMar w:top="709" w:right="851" w:bottom="1134" w:left="1134" w:header="284" w:footer="284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ndale Sans UI">
    <w:altName w:val="Times New Roman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40" w:lineRule="auto"/>
      </w:pPr>
      <w:r>
        <w:separator/>
      </w:r>
    </w:p>
  </w:footnote>
  <w:footnote w:type="continuationSeparator" w:id="3">
    <w:p>
      <w:pPr>
        <w:spacing w:before="0" w:after="0" w:line="240" w:lineRule="auto"/>
      </w:pPr>
      <w:r>
        <w:continuationSeparator/>
      </w:r>
    </w:p>
  </w:footnote>
  <w:footnote w:id="0">
    <w:p w14:paraId="34EE68DC">
      <w:pPr>
        <w:pStyle w:val="8"/>
        <w:spacing w:after="0" w:line="240" w:lineRule="auto"/>
        <w:rPr>
          <w:rFonts w:ascii="Times New Roman" w:hAnsi="Times New Roman"/>
        </w:rPr>
      </w:pPr>
      <w:r>
        <w:rPr>
          <w:rStyle w:val="5"/>
        </w:rPr>
        <w:footnoteRef/>
      </w:r>
      <w:r>
        <w:rPr>
          <w:rFonts w:ascii="Times New Roman" w:hAnsi="Times New Roman"/>
        </w:rPr>
        <w:t xml:space="preserve"> В случаях, предусмотренных градостроительным кодексом РФ, результатом работ по контракту является построенный и (или) реконструированный объект капитального строительства, в отношении которого получено заключение органа государственного строительного надзора о соответствии построенного и (или) реконструированного объекта капитального строительства требованиям технических регламентов и проектно-сметной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заключение федерального государственного экологического надзора в случаях, предусмотренных частью 7 статьи 54 Градостроительного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69386267"/>
      <w:docPartObj>
        <w:docPartGallery w:val="AutoText"/>
      </w:docPartObj>
    </w:sdtPr>
    <w:sdtContent>
      <w:p w14:paraId="3DE92E91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AC335D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FD2A40"/>
    <w:multiLevelType w:val="multilevel"/>
    <w:tmpl w:val="3EFD2A40"/>
    <w:lvl w:ilvl="0" w:tentative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81612A"/>
    <w:multiLevelType w:val="multilevel"/>
    <w:tmpl w:val="7081612A"/>
    <w:lvl w:ilvl="0" w:tentative="0">
      <w:start w:val="1"/>
      <w:numFmt w:val="decimal"/>
      <w:lvlText w:val="%1)"/>
      <w:lvlJc w:val="left"/>
      <w:pPr>
        <w:ind w:left="5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85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57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29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401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73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45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17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89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AFE"/>
    <w:rsid w:val="00004220"/>
    <w:rsid w:val="00006F18"/>
    <w:rsid w:val="000112D6"/>
    <w:rsid w:val="00011855"/>
    <w:rsid w:val="0001266C"/>
    <w:rsid w:val="0001495A"/>
    <w:rsid w:val="00016669"/>
    <w:rsid w:val="000168EA"/>
    <w:rsid w:val="00016CA2"/>
    <w:rsid w:val="00017977"/>
    <w:rsid w:val="00017AF7"/>
    <w:rsid w:val="00026A02"/>
    <w:rsid w:val="00026F7E"/>
    <w:rsid w:val="0002795C"/>
    <w:rsid w:val="0003000B"/>
    <w:rsid w:val="0003134D"/>
    <w:rsid w:val="00033271"/>
    <w:rsid w:val="00034746"/>
    <w:rsid w:val="00035C50"/>
    <w:rsid w:val="0003629F"/>
    <w:rsid w:val="00036461"/>
    <w:rsid w:val="0003695B"/>
    <w:rsid w:val="00042215"/>
    <w:rsid w:val="000439CA"/>
    <w:rsid w:val="00044E01"/>
    <w:rsid w:val="00050102"/>
    <w:rsid w:val="0005049A"/>
    <w:rsid w:val="00050EF6"/>
    <w:rsid w:val="000514CC"/>
    <w:rsid w:val="00051DDA"/>
    <w:rsid w:val="00051EBD"/>
    <w:rsid w:val="00051FC5"/>
    <w:rsid w:val="00053EED"/>
    <w:rsid w:val="0006331C"/>
    <w:rsid w:val="00064293"/>
    <w:rsid w:val="000646C2"/>
    <w:rsid w:val="0006549D"/>
    <w:rsid w:val="00065C94"/>
    <w:rsid w:val="00074044"/>
    <w:rsid w:val="000747C5"/>
    <w:rsid w:val="000763D1"/>
    <w:rsid w:val="00076698"/>
    <w:rsid w:val="000768D1"/>
    <w:rsid w:val="00082212"/>
    <w:rsid w:val="0008232E"/>
    <w:rsid w:val="00086CA8"/>
    <w:rsid w:val="00087041"/>
    <w:rsid w:val="00091930"/>
    <w:rsid w:val="00091A9D"/>
    <w:rsid w:val="00092355"/>
    <w:rsid w:val="00093D3D"/>
    <w:rsid w:val="00097851"/>
    <w:rsid w:val="000A03DB"/>
    <w:rsid w:val="000A1428"/>
    <w:rsid w:val="000A17AC"/>
    <w:rsid w:val="000A1AB3"/>
    <w:rsid w:val="000A1C91"/>
    <w:rsid w:val="000B0BEB"/>
    <w:rsid w:val="000B1BAF"/>
    <w:rsid w:val="000B2202"/>
    <w:rsid w:val="000B3207"/>
    <w:rsid w:val="000B3AD4"/>
    <w:rsid w:val="000B6333"/>
    <w:rsid w:val="000C2C07"/>
    <w:rsid w:val="000C2F9C"/>
    <w:rsid w:val="000C4ECE"/>
    <w:rsid w:val="000C5C1E"/>
    <w:rsid w:val="000C6DF5"/>
    <w:rsid w:val="000C7706"/>
    <w:rsid w:val="000D135F"/>
    <w:rsid w:val="000D3657"/>
    <w:rsid w:val="000D52E7"/>
    <w:rsid w:val="000D57D7"/>
    <w:rsid w:val="000D6626"/>
    <w:rsid w:val="000D6DD0"/>
    <w:rsid w:val="000E1173"/>
    <w:rsid w:val="000E60AA"/>
    <w:rsid w:val="000E683C"/>
    <w:rsid w:val="000E7427"/>
    <w:rsid w:val="000F1240"/>
    <w:rsid w:val="000F129A"/>
    <w:rsid w:val="000F2D67"/>
    <w:rsid w:val="000F38B6"/>
    <w:rsid w:val="00102279"/>
    <w:rsid w:val="00105B0E"/>
    <w:rsid w:val="001062FE"/>
    <w:rsid w:val="00114BC0"/>
    <w:rsid w:val="00114D47"/>
    <w:rsid w:val="0011788C"/>
    <w:rsid w:val="00121725"/>
    <w:rsid w:val="00123525"/>
    <w:rsid w:val="00124250"/>
    <w:rsid w:val="00124326"/>
    <w:rsid w:val="001249C9"/>
    <w:rsid w:val="00127BB1"/>
    <w:rsid w:val="00130CF2"/>
    <w:rsid w:val="001315F5"/>
    <w:rsid w:val="0013327B"/>
    <w:rsid w:val="0013525F"/>
    <w:rsid w:val="00140F9A"/>
    <w:rsid w:val="001434A2"/>
    <w:rsid w:val="00143EFB"/>
    <w:rsid w:val="00144174"/>
    <w:rsid w:val="0014730B"/>
    <w:rsid w:val="00150E37"/>
    <w:rsid w:val="001524A4"/>
    <w:rsid w:val="001526A8"/>
    <w:rsid w:val="00152B01"/>
    <w:rsid w:val="001552A8"/>
    <w:rsid w:val="00161966"/>
    <w:rsid w:val="0016281D"/>
    <w:rsid w:val="001652A5"/>
    <w:rsid w:val="0016535D"/>
    <w:rsid w:val="00170068"/>
    <w:rsid w:val="00172820"/>
    <w:rsid w:val="00174D55"/>
    <w:rsid w:val="00176248"/>
    <w:rsid w:val="0018428F"/>
    <w:rsid w:val="001870B6"/>
    <w:rsid w:val="00191815"/>
    <w:rsid w:val="00193737"/>
    <w:rsid w:val="00193F80"/>
    <w:rsid w:val="001A0016"/>
    <w:rsid w:val="001A04C2"/>
    <w:rsid w:val="001A0A52"/>
    <w:rsid w:val="001A0ED2"/>
    <w:rsid w:val="001A45FB"/>
    <w:rsid w:val="001A6C61"/>
    <w:rsid w:val="001A7BDD"/>
    <w:rsid w:val="001B0799"/>
    <w:rsid w:val="001B113C"/>
    <w:rsid w:val="001B11B9"/>
    <w:rsid w:val="001B1641"/>
    <w:rsid w:val="001B6043"/>
    <w:rsid w:val="001B7094"/>
    <w:rsid w:val="001B71A8"/>
    <w:rsid w:val="001C1A48"/>
    <w:rsid w:val="001D0762"/>
    <w:rsid w:val="001D447C"/>
    <w:rsid w:val="001D7559"/>
    <w:rsid w:val="001E04E1"/>
    <w:rsid w:val="001E0910"/>
    <w:rsid w:val="001E118C"/>
    <w:rsid w:val="001E203B"/>
    <w:rsid w:val="001E7B17"/>
    <w:rsid w:val="001E7BE7"/>
    <w:rsid w:val="001F1A44"/>
    <w:rsid w:val="001F49A8"/>
    <w:rsid w:val="001F4BFB"/>
    <w:rsid w:val="002026FF"/>
    <w:rsid w:val="002031CB"/>
    <w:rsid w:val="00204DE2"/>
    <w:rsid w:val="002114A9"/>
    <w:rsid w:val="0021190C"/>
    <w:rsid w:val="0021291C"/>
    <w:rsid w:val="00214286"/>
    <w:rsid w:val="002179B0"/>
    <w:rsid w:val="0022105E"/>
    <w:rsid w:val="00223316"/>
    <w:rsid w:val="00223F80"/>
    <w:rsid w:val="002273D9"/>
    <w:rsid w:val="00230BEC"/>
    <w:rsid w:val="002329F0"/>
    <w:rsid w:val="00234760"/>
    <w:rsid w:val="00235687"/>
    <w:rsid w:val="00236B38"/>
    <w:rsid w:val="00240729"/>
    <w:rsid w:val="002420DD"/>
    <w:rsid w:val="00242DFB"/>
    <w:rsid w:val="00244953"/>
    <w:rsid w:val="00246C8D"/>
    <w:rsid w:val="00247CB4"/>
    <w:rsid w:val="00252AF3"/>
    <w:rsid w:val="00252C5E"/>
    <w:rsid w:val="002538EC"/>
    <w:rsid w:val="0025589B"/>
    <w:rsid w:val="00256EFA"/>
    <w:rsid w:val="00257BA4"/>
    <w:rsid w:val="002606C1"/>
    <w:rsid w:val="00261CFF"/>
    <w:rsid w:val="0026407C"/>
    <w:rsid w:val="00266580"/>
    <w:rsid w:val="002674FB"/>
    <w:rsid w:val="002677B0"/>
    <w:rsid w:val="00275AF8"/>
    <w:rsid w:val="00276584"/>
    <w:rsid w:val="00277979"/>
    <w:rsid w:val="0028229E"/>
    <w:rsid w:val="0028469C"/>
    <w:rsid w:val="002872C3"/>
    <w:rsid w:val="0029514D"/>
    <w:rsid w:val="002A4220"/>
    <w:rsid w:val="002A525C"/>
    <w:rsid w:val="002A5D73"/>
    <w:rsid w:val="002A6109"/>
    <w:rsid w:val="002A6B81"/>
    <w:rsid w:val="002A6CE8"/>
    <w:rsid w:val="002B0746"/>
    <w:rsid w:val="002B3002"/>
    <w:rsid w:val="002B4068"/>
    <w:rsid w:val="002B55D9"/>
    <w:rsid w:val="002C1722"/>
    <w:rsid w:val="002C243D"/>
    <w:rsid w:val="002D0190"/>
    <w:rsid w:val="002D19BB"/>
    <w:rsid w:val="002D2123"/>
    <w:rsid w:val="002D3A93"/>
    <w:rsid w:val="002D6AC4"/>
    <w:rsid w:val="002D77D9"/>
    <w:rsid w:val="002E0122"/>
    <w:rsid w:val="002E0619"/>
    <w:rsid w:val="002E1C4A"/>
    <w:rsid w:val="002E2FC0"/>
    <w:rsid w:val="002E3669"/>
    <w:rsid w:val="002E7FA4"/>
    <w:rsid w:val="002F1463"/>
    <w:rsid w:val="002F18E1"/>
    <w:rsid w:val="002F2973"/>
    <w:rsid w:val="002F4C98"/>
    <w:rsid w:val="00300B59"/>
    <w:rsid w:val="0030106D"/>
    <w:rsid w:val="00304534"/>
    <w:rsid w:val="00306993"/>
    <w:rsid w:val="00313404"/>
    <w:rsid w:val="00314A54"/>
    <w:rsid w:val="00320906"/>
    <w:rsid w:val="003229DE"/>
    <w:rsid w:val="003242CB"/>
    <w:rsid w:val="003244C1"/>
    <w:rsid w:val="003250E6"/>
    <w:rsid w:val="00326952"/>
    <w:rsid w:val="00331ADF"/>
    <w:rsid w:val="003336F5"/>
    <w:rsid w:val="00336F12"/>
    <w:rsid w:val="003370D7"/>
    <w:rsid w:val="00341203"/>
    <w:rsid w:val="00343266"/>
    <w:rsid w:val="0034662D"/>
    <w:rsid w:val="003468B5"/>
    <w:rsid w:val="00353E2C"/>
    <w:rsid w:val="00353EF5"/>
    <w:rsid w:val="00355A2E"/>
    <w:rsid w:val="00356C7D"/>
    <w:rsid w:val="00362706"/>
    <w:rsid w:val="003627AA"/>
    <w:rsid w:val="00363CDF"/>
    <w:rsid w:val="003646F9"/>
    <w:rsid w:val="00365A73"/>
    <w:rsid w:val="00370C7F"/>
    <w:rsid w:val="0037205B"/>
    <w:rsid w:val="00372E68"/>
    <w:rsid w:val="003745F3"/>
    <w:rsid w:val="0037688A"/>
    <w:rsid w:val="0038126B"/>
    <w:rsid w:val="00382061"/>
    <w:rsid w:val="0038260D"/>
    <w:rsid w:val="00387A3F"/>
    <w:rsid w:val="00387B98"/>
    <w:rsid w:val="00390AFD"/>
    <w:rsid w:val="00392762"/>
    <w:rsid w:val="003927EF"/>
    <w:rsid w:val="00393E73"/>
    <w:rsid w:val="003A39BE"/>
    <w:rsid w:val="003A448E"/>
    <w:rsid w:val="003A71BB"/>
    <w:rsid w:val="003B0B31"/>
    <w:rsid w:val="003B319C"/>
    <w:rsid w:val="003B5BF0"/>
    <w:rsid w:val="003C537E"/>
    <w:rsid w:val="003C6CAD"/>
    <w:rsid w:val="003C7C6E"/>
    <w:rsid w:val="003D2E5D"/>
    <w:rsid w:val="003D2E7D"/>
    <w:rsid w:val="003E3B6F"/>
    <w:rsid w:val="003E7C64"/>
    <w:rsid w:val="003F11F6"/>
    <w:rsid w:val="003F5A9B"/>
    <w:rsid w:val="003F6DE4"/>
    <w:rsid w:val="003F76F3"/>
    <w:rsid w:val="00412708"/>
    <w:rsid w:val="00412C31"/>
    <w:rsid w:val="00412F11"/>
    <w:rsid w:val="004172AF"/>
    <w:rsid w:val="00417510"/>
    <w:rsid w:val="00417764"/>
    <w:rsid w:val="00422938"/>
    <w:rsid w:val="00425E2B"/>
    <w:rsid w:val="00426B81"/>
    <w:rsid w:val="00427DB6"/>
    <w:rsid w:val="0043040B"/>
    <w:rsid w:val="00433E70"/>
    <w:rsid w:val="0044097D"/>
    <w:rsid w:val="004439A5"/>
    <w:rsid w:val="00447E94"/>
    <w:rsid w:val="00454430"/>
    <w:rsid w:val="00454864"/>
    <w:rsid w:val="004557A3"/>
    <w:rsid w:val="00457CFB"/>
    <w:rsid w:val="00462CF0"/>
    <w:rsid w:val="00466C62"/>
    <w:rsid w:val="0047473C"/>
    <w:rsid w:val="00474900"/>
    <w:rsid w:val="00475EBA"/>
    <w:rsid w:val="00476507"/>
    <w:rsid w:val="004778E2"/>
    <w:rsid w:val="00480BD7"/>
    <w:rsid w:val="00481337"/>
    <w:rsid w:val="00490103"/>
    <w:rsid w:val="00491BB8"/>
    <w:rsid w:val="0049399D"/>
    <w:rsid w:val="0049517D"/>
    <w:rsid w:val="004951E5"/>
    <w:rsid w:val="004A2361"/>
    <w:rsid w:val="004A6595"/>
    <w:rsid w:val="004A74E5"/>
    <w:rsid w:val="004B057C"/>
    <w:rsid w:val="004B1762"/>
    <w:rsid w:val="004B2A22"/>
    <w:rsid w:val="004B401F"/>
    <w:rsid w:val="004B4E7A"/>
    <w:rsid w:val="004B5E6C"/>
    <w:rsid w:val="004C0893"/>
    <w:rsid w:val="004C4699"/>
    <w:rsid w:val="004C74B7"/>
    <w:rsid w:val="004D078D"/>
    <w:rsid w:val="004D251B"/>
    <w:rsid w:val="004D2C63"/>
    <w:rsid w:val="004D66C4"/>
    <w:rsid w:val="004D7687"/>
    <w:rsid w:val="004E3BA0"/>
    <w:rsid w:val="004E51C0"/>
    <w:rsid w:val="004E78EB"/>
    <w:rsid w:val="004F58D1"/>
    <w:rsid w:val="004F62EE"/>
    <w:rsid w:val="004F757F"/>
    <w:rsid w:val="00501F2F"/>
    <w:rsid w:val="0050778A"/>
    <w:rsid w:val="00510677"/>
    <w:rsid w:val="00511DB5"/>
    <w:rsid w:val="005134B4"/>
    <w:rsid w:val="00514853"/>
    <w:rsid w:val="0051653F"/>
    <w:rsid w:val="0051693D"/>
    <w:rsid w:val="005240FF"/>
    <w:rsid w:val="00524171"/>
    <w:rsid w:val="00526989"/>
    <w:rsid w:val="00526F96"/>
    <w:rsid w:val="00532DEA"/>
    <w:rsid w:val="00532F01"/>
    <w:rsid w:val="00534BF0"/>
    <w:rsid w:val="00537234"/>
    <w:rsid w:val="005373A3"/>
    <w:rsid w:val="00546106"/>
    <w:rsid w:val="00546FC2"/>
    <w:rsid w:val="00550C19"/>
    <w:rsid w:val="00551415"/>
    <w:rsid w:val="00553ABC"/>
    <w:rsid w:val="00554BDA"/>
    <w:rsid w:val="00555632"/>
    <w:rsid w:val="005656DE"/>
    <w:rsid w:val="00571BD9"/>
    <w:rsid w:val="00572B28"/>
    <w:rsid w:val="00573048"/>
    <w:rsid w:val="00573246"/>
    <w:rsid w:val="0057782D"/>
    <w:rsid w:val="00577941"/>
    <w:rsid w:val="00580447"/>
    <w:rsid w:val="00581756"/>
    <w:rsid w:val="00582F9A"/>
    <w:rsid w:val="0058351F"/>
    <w:rsid w:val="0058728F"/>
    <w:rsid w:val="00587B04"/>
    <w:rsid w:val="00594E17"/>
    <w:rsid w:val="00595119"/>
    <w:rsid w:val="00597A28"/>
    <w:rsid w:val="005A3B5C"/>
    <w:rsid w:val="005A6019"/>
    <w:rsid w:val="005A6453"/>
    <w:rsid w:val="005B0B3C"/>
    <w:rsid w:val="005B32DE"/>
    <w:rsid w:val="005B7F59"/>
    <w:rsid w:val="005C3DD8"/>
    <w:rsid w:val="005D185B"/>
    <w:rsid w:val="005D3EAB"/>
    <w:rsid w:val="005D5D29"/>
    <w:rsid w:val="005D5D40"/>
    <w:rsid w:val="005E3778"/>
    <w:rsid w:val="005E6F46"/>
    <w:rsid w:val="005F6AD4"/>
    <w:rsid w:val="005F701B"/>
    <w:rsid w:val="00601A7C"/>
    <w:rsid w:val="0060457C"/>
    <w:rsid w:val="00607807"/>
    <w:rsid w:val="006157DE"/>
    <w:rsid w:val="00616574"/>
    <w:rsid w:val="00616DC2"/>
    <w:rsid w:val="00620872"/>
    <w:rsid w:val="00621D8B"/>
    <w:rsid w:val="00626596"/>
    <w:rsid w:val="00627178"/>
    <w:rsid w:val="0063033B"/>
    <w:rsid w:val="00632576"/>
    <w:rsid w:val="00633A06"/>
    <w:rsid w:val="00640C69"/>
    <w:rsid w:val="00642164"/>
    <w:rsid w:val="00646B66"/>
    <w:rsid w:val="006569BB"/>
    <w:rsid w:val="00661E8D"/>
    <w:rsid w:val="00662A2D"/>
    <w:rsid w:val="00662B04"/>
    <w:rsid w:val="00662E52"/>
    <w:rsid w:val="00663656"/>
    <w:rsid w:val="006646BB"/>
    <w:rsid w:val="00667677"/>
    <w:rsid w:val="00667AB2"/>
    <w:rsid w:val="00667B15"/>
    <w:rsid w:val="006705DB"/>
    <w:rsid w:val="006721A9"/>
    <w:rsid w:val="00672839"/>
    <w:rsid w:val="00673459"/>
    <w:rsid w:val="00675C36"/>
    <w:rsid w:val="0068088D"/>
    <w:rsid w:val="00680D3F"/>
    <w:rsid w:val="00682012"/>
    <w:rsid w:val="00682BA4"/>
    <w:rsid w:val="00682BC9"/>
    <w:rsid w:val="00683406"/>
    <w:rsid w:val="00683DB5"/>
    <w:rsid w:val="00683E6F"/>
    <w:rsid w:val="00684DED"/>
    <w:rsid w:val="00685659"/>
    <w:rsid w:val="00686494"/>
    <w:rsid w:val="00692F28"/>
    <w:rsid w:val="00695BEF"/>
    <w:rsid w:val="006977EB"/>
    <w:rsid w:val="00697D96"/>
    <w:rsid w:val="006A209D"/>
    <w:rsid w:val="006A2673"/>
    <w:rsid w:val="006A3425"/>
    <w:rsid w:val="006A4661"/>
    <w:rsid w:val="006A5B25"/>
    <w:rsid w:val="006B1A83"/>
    <w:rsid w:val="006B3B06"/>
    <w:rsid w:val="006B6BEB"/>
    <w:rsid w:val="006B6FC0"/>
    <w:rsid w:val="006C2F15"/>
    <w:rsid w:val="006C320A"/>
    <w:rsid w:val="006C5C5A"/>
    <w:rsid w:val="006D05B8"/>
    <w:rsid w:val="006D09C8"/>
    <w:rsid w:val="006D0FB0"/>
    <w:rsid w:val="006D6A1B"/>
    <w:rsid w:val="006E0628"/>
    <w:rsid w:val="006E3E4F"/>
    <w:rsid w:val="006E5314"/>
    <w:rsid w:val="006E5450"/>
    <w:rsid w:val="006E5E06"/>
    <w:rsid w:val="006F3BAA"/>
    <w:rsid w:val="006F3DD7"/>
    <w:rsid w:val="006F4289"/>
    <w:rsid w:val="006F4FC4"/>
    <w:rsid w:val="006F7020"/>
    <w:rsid w:val="00701893"/>
    <w:rsid w:val="00701FE9"/>
    <w:rsid w:val="007071BE"/>
    <w:rsid w:val="007111A3"/>
    <w:rsid w:val="00714869"/>
    <w:rsid w:val="00714A2E"/>
    <w:rsid w:val="00714F17"/>
    <w:rsid w:val="00717412"/>
    <w:rsid w:val="007238AA"/>
    <w:rsid w:val="00723904"/>
    <w:rsid w:val="007245CB"/>
    <w:rsid w:val="00725D53"/>
    <w:rsid w:val="0072607A"/>
    <w:rsid w:val="00726AE0"/>
    <w:rsid w:val="00730060"/>
    <w:rsid w:val="0073104F"/>
    <w:rsid w:val="0073314D"/>
    <w:rsid w:val="00733CE6"/>
    <w:rsid w:val="00737673"/>
    <w:rsid w:val="007427DF"/>
    <w:rsid w:val="0074359A"/>
    <w:rsid w:val="00754595"/>
    <w:rsid w:val="007600DB"/>
    <w:rsid w:val="007644C5"/>
    <w:rsid w:val="00774C63"/>
    <w:rsid w:val="00775E68"/>
    <w:rsid w:val="007760F6"/>
    <w:rsid w:val="0078015C"/>
    <w:rsid w:val="00781E3D"/>
    <w:rsid w:val="007912E3"/>
    <w:rsid w:val="007928B3"/>
    <w:rsid w:val="00793B2C"/>
    <w:rsid w:val="00795D0A"/>
    <w:rsid w:val="007A403A"/>
    <w:rsid w:val="007A72BB"/>
    <w:rsid w:val="007A7585"/>
    <w:rsid w:val="007B012C"/>
    <w:rsid w:val="007B0587"/>
    <w:rsid w:val="007B062C"/>
    <w:rsid w:val="007B2AC4"/>
    <w:rsid w:val="007B323A"/>
    <w:rsid w:val="007B5505"/>
    <w:rsid w:val="007B5AED"/>
    <w:rsid w:val="007C49DB"/>
    <w:rsid w:val="007C4C62"/>
    <w:rsid w:val="007C5A96"/>
    <w:rsid w:val="007C610E"/>
    <w:rsid w:val="007C729C"/>
    <w:rsid w:val="007D0AFD"/>
    <w:rsid w:val="007D30EB"/>
    <w:rsid w:val="007D37C9"/>
    <w:rsid w:val="007D598C"/>
    <w:rsid w:val="007D5C76"/>
    <w:rsid w:val="007E1A45"/>
    <w:rsid w:val="007E26B8"/>
    <w:rsid w:val="007E319F"/>
    <w:rsid w:val="007E4FD9"/>
    <w:rsid w:val="007E5472"/>
    <w:rsid w:val="007E57D8"/>
    <w:rsid w:val="007E74CB"/>
    <w:rsid w:val="007F0436"/>
    <w:rsid w:val="007F4691"/>
    <w:rsid w:val="007F5330"/>
    <w:rsid w:val="007F570D"/>
    <w:rsid w:val="008001BA"/>
    <w:rsid w:val="00801134"/>
    <w:rsid w:val="008011BE"/>
    <w:rsid w:val="008128E6"/>
    <w:rsid w:val="0081341E"/>
    <w:rsid w:val="00813F5A"/>
    <w:rsid w:val="00815382"/>
    <w:rsid w:val="00826C02"/>
    <w:rsid w:val="00830780"/>
    <w:rsid w:val="0083202E"/>
    <w:rsid w:val="0083460B"/>
    <w:rsid w:val="00836A81"/>
    <w:rsid w:val="008372B7"/>
    <w:rsid w:val="0084077D"/>
    <w:rsid w:val="00844EC6"/>
    <w:rsid w:val="00845367"/>
    <w:rsid w:val="0084557D"/>
    <w:rsid w:val="008530A7"/>
    <w:rsid w:val="00861714"/>
    <w:rsid w:val="00865607"/>
    <w:rsid w:val="00866AC5"/>
    <w:rsid w:val="0087253A"/>
    <w:rsid w:val="00875955"/>
    <w:rsid w:val="00882CEA"/>
    <w:rsid w:val="00886026"/>
    <w:rsid w:val="008911AC"/>
    <w:rsid w:val="00895B75"/>
    <w:rsid w:val="00896365"/>
    <w:rsid w:val="008A3B80"/>
    <w:rsid w:val="008A4B82"/>
    <w:rsid w:val="008A4DC0"/>
    <w:rsid w:val="008A613B"/>
    <w:rsid w:val="008B28D8"/>
    <w:rsid w:val="008B31B3"/>
    <w:rsid w:val="008C038F"/>
    <w:rsid w:val="008C054E"/>
    <w:rsid w:val="008C157F"/>
    <w:rsid w:val="008C1DAF"/>
    <w:rsid w:val="008D3301"/>
    <w:rsid w:val="008D3E91"/>
    <w:rsid w:val="008E1ED0"/>
    <w:rsid w:val="008E46CF"/>
    <w:rsid w:val="008E6408"/>
    <w:rsid w:val="008E7A98"/>
    <w:rsid w:val="008E7E19"/>
    <w:rsid w:val="008F5D0F"/>
    <w:rsid w:val="00902460"/>
    <w:rsid w:val="0090249A"/>
    <w:rsid w:val="00902DAA"/>
    <w:rsid w:val="00902FF5"/>
    <w:rsid w:val="00904487"/>
    <w:rsid w:val="009104A7"/>
    <w:rsid w:val="009119CE"/>
    <w:rsid w:val="00912338"/>
    <w:rsid w:val="00913DAA"/>
    <w:rsid w:val="00913F1D"/>
    <w:rsid w:val="00915C5A"/>
    <w:rsid w:val="00922C1F"/>
    <w:rsid w:val="00923F70"/>
    <w:rsid w:val="0092649B"/>
    <w:rsid w:val="009265BC"/>
    <w:rsid w:val="009268F3"/>
    <w:rsid w:val="00930023"/>
    <w:rsid w:val="0093120F"/>
    <w:rsid w:val="00932DAD"/>
    <w:rsid w:val="00937DDB"/>
    <w:rsid w:val="009402BB"/>
    <w:rsid w:val="00941737"/>
    <w:rsid w:val="00943426"/>
    <w:rsid w:val="009509D8"/>
    <w:rsid w:val="00951415"/>
    <w:rsid w:val="0095381B"/>
    <w:rsid w:val="00955328"/>
    <w:rsid w:val="00963FDF"/>
    <w:rsid w:val="009722C6"/>
    <w:rsid w:val="00976B46"/>
    <w:rsid w:val="0097744E"/>
    <w:rsid w:val="00982CC1"/>
    <w:rsid w:val="00983182"/>
    <w:rsid w:val="00983F3A"/>
    <w:rsid w:val="009901E2"/>
    <w:rsid w:val="00992017"/>
    <w:rsid w:val="0099519D"/>
    <w:rsid w:val="0099546B"/>
    <w:rsid w:val="00995554"/>
    <w:rsid w:val="00996553"/>
    <w:rsid w:val="009A1C6C"/>
    <w:rsid w:val="009A5DC7"/>
    <w:rsid w:val="009A6628"/>
    <w:rsid w:val="009B0118"/>
    <w:rsid w:val="009B30F7"/>
    <w:rsid w:val="009B4779"/>
    <w:rsid w:val="009B7DD9"/>
    <w:rsid w:val="009C3CB5"/>
    <w:rsid w:val="009C4506"/>
    <w:rsid w:val="009C51F9"/>
    <w:rsid w:val="009D5347"/>
    <w:rsid w:val="009D6346"/>
    <w:rsid w:val="009E3362"/>
    <w:rsid w:val="009F063C"/>
    <w:rsid w:val="009F0E1E"/>
    <w:rsid w:val="009F465D"/>
    <w:rsid w:val="00A02AA5"/>
    <w:rsid w:val="00A1054A"/>
    <w:rsid w:val="00A113F6"/>
    <w:rsid w:val="00A12827"/>
    <w:rsid w:val="00A154F5"/>
    <w:rsid w:val="00A16136"/>
    <w:rsid w:val="00A24592"/>
    <w:rsid w:val="00A247A5"/>
    <w:rsid w:val="00A253B7"/>
    <w:rsid w:val="00A268F6"/>
    <w:rsid w:val="00A27836"/>
    <w:rsid w:val="00A30B97"/>
    <w:rsid w:val="00A313FE"/>
    <w:rsid w:val="00A31B2F"/>
    <w:rsid w:val="00A3207E"/>
    <w:rsid w:val="00A33E75"/>
    <w:rsid w:val="00A35AEE"/>
    <w:rsid w:val="00A41490"/>
    <w:rsid w:val="00A424BB"/>
    <w:rsid w:val="00A539DC"/>
    <w:rsid w:val="00A54DC6"/>
    <w:rsid w:val="00A569BC"/>
    <w:rsid w:val="00A731F6"/>
    <w:rsid w:val="00A80A45"/>
    <w:rsid w:val="00A82503"/>
    <w:rsid w:val="00A82E66"/>
    <w:rsid w:val="00A86951"/>
    <w:rsid w:val="00A95DE1"/>
    <w:rsid w:val="00AA0A6D"/>
    <w:rsid w:val="00AA207B"/>
    <w:rsid w:val="00AA2882"/>
    <w:rsid w:val="00AA5B33"/>
    <w:rsid w:val="00AB0245"/>
    <w:rsid w:val="00AB02F4"/>
    <w:rsid w:val="00AB1A17"/>
    <w:rsid w:val="00AB2FFA"/>
    <w:rsid w:val="00AB3914"/>
    <w:rsid w:val="00AB52CC"/>
    <w:rsid w:val="00AB6275"/>
    <w:rsid w:val="00AB6FFA"/>
    <w:rsid w:val="00AC299D"/>
    <w:rsid w:val="00AC5AA8"/>
    <w:rsid w:val="00AD2248"/>
    <w:rsid w:val="00AE1FAB"/>
    <w:rsid w:val="00AE4896"/>
    <w:rsid w:val="00AE4BE9"/>
    <w:rsid w:val="00AE7D2D"/>
    <w:rsid w:val="00AF2DFA"/>
    <w:rsid w:val="00AF3C72"/>
    <w:rsid w:val="00B01855"/>
    <w:rsid w:val="00B02A3C"/>
    <w:rsid w:val="00B05993"/>
    <w:rsid w:val="00B07147"/>
    <w:rsid w:val="00B10D09"/>
    <w:rsid w:val="00B1204B"/>
    <w:rsid w:val="00B13226"/>
    <w:rsid w:val="00B13331"/>
    <w:rsid w:val="00B13CC8"/>
    <w:rsid w:val="00B14F0F"/>
    <w:rsid w:val="00B15427"/>
    <w:rsid w:val="00B16C01"/>
    <w:rsid w:val="00B214EE"/>
    <w:rsid w:val="00B2196E"/>
    <w:rsid w:val="00B275D0"/>
    <w:rsid w:val="00B3458C"/>
    <w:rsid w:val="00B409A6"/>
    <w:rsid w:val="00B45175"/>
    <w:rsid w:val="00B46964"/>
    <w:rsid w:val="00B46C20"/>
    <w:rsid w:val="00B4716F"/>
    <w:rsid w:val="00B519A5"/>
    <w:rsid w:val="00B51FE4"/>
    <w:rsid w:val="00B530B4"/>
    <w:rsid w:val="00B5330E"/>
    <w:rsid w:val="00B53D87"/>
    <w:rsid w:val="00B56132"/>
    <w:rsid w:val="00B566C2"/>
    <w:rsid w:val="00B57C11"/>
    <w:rsid w:val="00B63757"/>
    <w:rsid w:val="00B72084"/>
    <w:rsid w:val="00B72FE4"/>
    <w:rsid w:val="00B77677"/>
    <w:rsid w:val="00B82B83"/>
    <w:rsid w:val="00B830E6"/>
    <w:rsid w:val="00B831DF"/>
    <w:rsid w:val="00B879D3"/>
    <w:rsid w:val="00B90B29"/>
    <w:rsid w:val="00B91331"/>
    <w:rsid w:val="00B917AB"/>
    <w:rsid w:val="00B92811"/>
    <w:rsid w:val="00B92CB4"/>
    <w:rsid w:val="00B95FDC"/>
    <w:rsid w:val="00B969B0"/>
    <w:rsid w:val="00BA10E1"/>
    <w:rsid w:val="00BA2AFE"/>
    <w:rsid w:val="00BA3ECF"/>
    <w:rsid w:val="00BA79BA"/>
    <w:rsid w:val="00BB3337"/>
    <w:rsid w:val="00BB353F"/>
    <w:rsid w:val="00BB5A69"/>
    <w:rsid w:val="00BC29AD"/>
    <w:rsid w:val="00BC30CA"/>
    <w:rsid w:val="00BC3849"/>
    <w:rsid w:val="00BC5AB7"/>
    <w:rsid w:val="00BC6138"/>
    <w:rsid w:val="00BE3D60"/>
    <w:rsid w:val="00BE3ECB"/>
    <w:rsid w:val="00BE4E54"/>
    <w:rsid w:val="00BE6900"/>
    <w:rsid w:val="00BF30BA"/>
    <w:rsid w:val="00BF7DE9"/>
    <w:rsid w:val="00BF7F37"/>
    <w:rsid w:val="00C009AA"/>
    <w:rsid w:val="00C025DA"/>
    <w:rsid w:val="00C05223"/>
    <w:rsid w:val="00C07D3E"/>
    <w:rsid w:val="00C1026E"/>
    <w:rsid w:val="00C1321F"/>
    <w:rsid w:val="00C2023E"/>
    <w:rsid w:val="00C23538"/>
    <w:rsid w:val="00C31E2E"/>
    <w:rsid w:val="00C40233"/>
    <w:rsid w:val="00C412DC"/>
    <w:rsid w:val="00C418AA"/>
    <w:rsid w:val="00C41FA8"/>
    <w:rsid w:val="00C424EF"/>
    <w:rsid w:val="00C50F21"/>
    <w:rsid w:val="00C5190A"/>
    <w:rsid w:val="00C5427C"/>
    <w:rsid w:val="00C54FF2"/>
    <w:rsid w:val="00C56461"/>
    <w:rsid w:val="00C56E2A"/>
    <w:rsid w:val="00C62B6F"/>
    <w:rsid w:val="00C631F2"/>
    <w:rsid w:val="00C6341E"/>
    <w:rsid w:val="00C64BDB"/>
    <w:rsid w:val="00C65F92"/>
    <w:rsid w:val="00C71E7B"/>
    <w:rsid w:val="00C72DC6"/>
    <w:rsid w:val="00C73497"/>
    <w:rsid w:val="00C76CFD"/>
    <w:rsid w:val="00C76F63"/>
    <w:rsid w:val="00C83360"/>
    <w:rsid w:val="00C878A5"/>
    <w:rsid w:val="00C911EF"/>
    <w:rsid w:val="00C92B00"/>
    <w:rsid w:val="00C93FE0"/>
    <w:rsid w:val="00C96ADB"/>
    <w:rsid w:val="00CA3797"/>
    <w:rsid w:val="00CA43FA"/>
    <w:rsid w:val="00CA48B2"/>
    <w:rsid w:val="00CB255A"/>
    <w:rsid w:val="00CB5098"/>
    <w:rsid w:val="00CC18C4"/>
    <w:rsid w:val="00CC2692"/>
    <w:rsid w:val="00CC3366"/>
    <w:rsid w:val="00CC7975"/>
    <w:rsid w:val="00CD2B21"/>
    <w:rsid w:val="00CD582A"/>
    <w:rsid w:val="00CD612A"/>
    <w:rsid w:val="00CE0719"/>
    <w:rsid w:val="00CE1C59"/>
    <w:rsid w:val="00CE24CC"/>
    <w:rsid w:val="00CE50B7"/>
    <w:rsid w:val="00CE56BF"/>
    <w:rsid w:val="00CF1640"/>
    <w:rsid w:val="00CF19D3"/>
    <w:rsid w:val="00CF6B1D"/>
    <w:rsid w:val="00D10C5F"/>
    <w:rsid w:val="00D13017"/>
    <w:rsid w:val="00D1440D"/>
    <w:rsid w:val="00D158F3"/>
    <w:rsid w:val="00D15B36"/>
    <w:rsid w:val="00D22C46"/>
    <w:rsid w:val="00D24F63"/>
    <w:rsid w:val="00D26761"/>
    <w:rsid w:val="00D275B4"/>
    <w:rsid w:val="00D309E3"/>
    <w:rsid w:val="00D32153"/>
    <w:rsid w:val="00D36BF1"/>
    <w:rsid w:val="00D37382"/>
    <w:rsid w:val="00D43170"/>
    <w:rsid w:val="00D5667A"/>
    <w:rsid w:val="00D56E42"/>
    <w:rsid w:val="00D60060"/>
    <w:rsid w:val="00D62460"/>
    <w:rsid w:val="00D644E9"/>
    <w:rsid w:val="00D6716E"/>
    <w:rsid w:val="00D6779A"/>
    <w:rsid w:val="00D75035"/>
    <w:rsid w:val="00D8001E"/>
    <w:rsid w:val="00D823A4"/>
    <w:rsid w:val="00D85848"/>
    <w:rsid w:val="00D87ABB"/>
    <w:rsid w:val="00D90D02"/>
    <w:rsid w:val="00D90D7E"/>
    <w:rsid w:val="00D966E4"/>
    <w:rsid w:val="00DA3743"/>
    <w:rsid w:val="00DA56FA"/>
    <w:rsid w:val="00DA585C"/>
    <w:rsid w:val="00DB1D15"/>
    <w:rsid w:val="00DB251E"/>
    <w:rsid w:val="00DC4BDA"/>
    <w:rsid w:val="00DC5881"/>
    <w:rsid w:val="00DC65DC"/>
    <w:rsid w:val="00DD143D"/>
    <w:rsid w:val="00DD2AE1"/>
    <w:rsid w:val="00DD41B9"/>
    <w:rsid w:val="00DE1DF0"/>
    <w:rsid w:val="00DE54AB"/>
    <w:rsid w:val="00DE5CE4"/>
    <w:rsid w:val="00DE6049"/>
    <w:rsid w:val="00DE6A07"/>
    <w:rsid w:val="00DE6CE5"/>
    <w:rsid w:val="00E031D6"/>
    <w:rsid w:val="00E05095"/>
    <w:rsid w:val="00E068BE"/>
    <w:rsid w:val="00E151D8"/>
    <w:rsid w:val="00E17E79"/>
    <w:rsid w:val="00E20734"/>
    <w:rsid w:val="00E22D82"/>
    <w:rsid w:val="00E234B3"/>
    <w:rsid w:val="00E243C4"/>
    <w:rsid w:val="00E26894"/>
    <w:rsid w:val="00E26FB2"/>
    <w:rsid w:val="00E30950"/>
    <w:rsid w:val="00E3282B"/>
    <w:rsid w:val="00E34D2A"/>
    <w:rsid w:val="00E3566C"/>
    <w:rsid w:val="00E35E72"/>
    <w:rsid w:val="00E36F44"/>
    <w:rsid w:val="00E40566"/>
    <w:rsid w:val="00E4061F"/>
    <w:rsid w:val="00E4633D"/>
    <w:rsid w:val="00E5001B"/>
    <w:rsid w:val="00E52D8A"/>
    <w:rsid w:val="00E55906"/>
    <w:rsid w:val="00E55F9B"/>
    <w:rsid w:val="00E57396"/>
    <w:rsid w:val="00E5774C"/>
    <w:rsid w:val="00E63D31"/>
    <w:rsid w:val="00E658CF"/>
    <w:rsid w:val="00E6662D"/>
    <w:rsid w:val="00E670FB"/>
    <w:rsid w:val="00E672B4"/>
    <w:rsid w:val="00E72BD4"/>
    <w:rsid w:val="00E86223"/>
    <w:rsid w:val="00E8670C"/>
    <w:rsid w:val="00E927B6"/>
    <w:rsid w:val="00E92DD8"/>
    <w:rsid w:val="00EA2398"/>
    <w:rsid w:val="00EA3D05"/>
    <w:rsid w:val="00EA7630"/>
    <w:rsid w:val="00EA7F68"/>
    <w:rsid w:val="00EB1422"/>
    <w:rsid w:val="00EB1C46"/>
    <w:rsid w:val="00EB4E33"/>
    <w:rsid w:val="00EC0D52"/>
    <w:rsid w:val="00EC61F7"/>
    <w:rsid w:val="00EC6C04"/>
    <w:rsid w:val="00ED049F"/>
    <w:rsid w:val="00ED0645"/>
    <w:rsid w:val="00ED1DE9"/>
    <w:rsid w:val="00ED2181"/>
    <w:rsid w:val="00ED269B"/>
    <w:rsid w:val="00ED7B5F"/>
    <w:rsid w:val="00EE0947"/>
    <w:rsid w:val="00EE107B"/>
    <w:rsid w:val="00EE1439"/>
    <w:rsid w:val="00EF4B0A"/>
    <w:rsid w:val="00EF56F6"/>
    <w:rsid w:val="00EF5E77"/>
    <w:rsid w:val="00EF6B30"/>
    <w:rsid w:val="00EF7E2E"/>
    <w:rsid w:val="00F011DF"/>
    <w:rsid w:val="00F01C54"/>
    <w:rsid w:val="00F028CA"/>
    <w:rsid w:val="00F030CE"/>
    <w:rsid w:val="00F0362E"/>
    <w:rsid w:val="00F065B8"/>
    <w:rsid w:val="00F0767F"/>
    <w:rsid w:val="00F07A33"/>
    <w:rsid w:val="00F11BE8"/>
    <w:rsid w:val="00F1423F"/>
    <w:rsid w:val="00F146BE"/>
    <w:rsid w:val="00F15DEB"/>
    <w:rsid w:val="00F179E1"/>
    <w:rsid w:val="00F20385"/>
    <w:rsid w:val="00F20893"/>
    <w:rsid w:val="00F2174F"/>
    <w:rsid w:val="00F23D64"/>
    <w:rsid w:val="00F24B81"/>
    <w:rsid w:val="00F3108B"/>
    <w:rsid w:val="00F31B6B"/>
    <w:rsid w:val="00F31C06"/>
    <w:rsid w:val="00F320AF"/>
    <w:rsid w:val="00F32931"/>
    <w:rsid w:val="00F3505D"/>
    <w:rsid w:val="00F35A53"/>
    <w:rsid w:val="00F35E98"/>
    <w:rsid w:val="00F3647D"/>
    <w:rsid w:val="00F44292"/>
    <w:rsid w:val="00F44744"/>
    <w:rsid w:val="00F44D59"/>
    <w:rsid w:val="00F53EC6"/>
    <w:rsid w:val="00F55EA9"/>
    <w:rsid w:val="00F60F08"/>
    <w:rsid w:val="00F63B73"/>
    <w:rsid w:val="00F655A8"/>
    <w:rsid w:val="00F670A4"/>
    <w:rsid w:val="00F80DA2"/>
    <w:rsid w:val="00F81A17"/>
    <w:rsid w:val="00F81BDF"/>
    <w:rsid w:val="00F8416E"/>
    <w:rsid w:val="00F87E18"/>
    <w:rsid w:val="00F901A9"/>
    <w:rsid w:val="00F935EB"/>
    <w:rsid w:val="00F968AA"/>
    <w:rsid w:val="00FA02D3"/>
    <w:rsid w:val="00FA10DC"/>
    <w:rsid w:val="00FA1908"/>
    <w:rsid w:val="00FA19B3"/>
    <w:rsid w:val="00FA1D40"/>
    <w:rsid w:val="00FA3679"/>
    <w:rsid w:val="00FA3BC5"/>
    <w:rsid w:val="00FA4C43"/>
    <w:rsid w:val="00FA5221"/>
    <w:rsid w:val="00FB01A8"/>
    <w:rsid w:val="00FB0ADD"/>
    <w:rsid w:val="00FB1D98"/>
    <w:rsid w:val="00FB20A5"/>
    <w:rsid w:val="00FB364A"/>
    <w:rsid w:val="00FB4DF9"/>
    <w:rsid w:val="00FC425B"/>
    <w:rsid w:val="00FC4B0B"/>
    <w:rsid w:val="00FC5F21"/>
    <w:rsid w:val="00FD1EE0"/>
    <w:rsid w:val="00FD35D4"/>
    <w:rsid w:val="00FD62B9"/>
    <w:rsid w:val="00FD7F85"/>
    <w:rsid w:val="00FE022C"/>
    <w:rsid w:val="00FE151C"/>
    <w:rsid w:val="00FE1CE2"/>
    <w:rsid w:val="00FE2A34"/>
    <w:rsid w:val="00FE2B22"/>
    <w:rsid w:val="00FE3F47"/>
    <w:rsid w:val="00FE4742"/>
    <w:rsid w:val="00FE6CC8"/>
    <w:rsid w:val="00FF01E8"/>
    <w:rsid w:val="00FF2B96"/>
    <w:rsid w:val="00FF3AF5"/>
    <w:rsid w:val="00FF6031"/>
    <w:rsid w:val="00FF6C2E"/>
    <w:rsid w:val="00FF6D77"/>
    <w:rsid w:val="7133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paragraph" w:styleId="2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03864" w:themeColor="accent1" w:themeShade="8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unhideWhenUsed/>
    <w:qFormat/>
    <w:uiPriority w:val="99"/>
    <w:rPr>
      <w:vertAlign w:val="superscript"/>
    </w:rPr>
  </w:style>
  <w:style w:type="character" w:styleId="6">
    <w:name w:val="Hyperlink"/>
    <w:basedOn w:val="3"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2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8">
    <w:name w:val="footnote text"/>
    <w:basedOn w:val="1"/>
    <w:link w:val="28"/>
    <w:unhideWhenUsed/>
    <w:qFormat/>
    <w:uiPriority w:val="99"/>
    <w:pPr>
      <w:suppressAutoHyphens w:val="0"/>
      <w:spacing w:after="200" w:line="276" w:lineRule="auto"/>
    </w:pPr>
    <w:rPr>
      <w:rFonts w:ascii="Calibri" w:hAnsi="Calibri"/>
      <w:sz w:val="20"/>
      <w:szCs w:val="20"/>
      <w:lang w:eastAsia="ru-RU"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 Indent"/>
    <w:basedOn w:val="1"/>
    <w:link w:val="17"/>
    <w:unhideWhenUsed/>
    <w:qFormat/>
    <w:uiPriority w:val="0"/>
    <w:pPr>
      <w:ind w:firstLine="720"/>
      <w:jc w:val="both"/>
    </w:pPr>
  </w:style>
  <w:style w:type="paragraph" w:styleId="11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2">
    <w:name w:val="Normal (Web)"/>
    <w:basedOn w:val="1"/>
    <w:semiHidden/>
    <w:unhideWhenUsed/>
    <w:qFormat/>
    <w:uiPriority w:val="99"/>
  </w:style>
  <w:style w:type="table" w:styleId="13">
    <w:name w:val="Table Grid"/>
    <w:basedOn w:val="4"/>
    <w:qFormat/>
    <w:uiPriority w:val="59"/>
    <w:pPr>
      <w:spacing w:after="0" w:line="240" w:lineRule="auto"/>
    </w:pPr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Основной текст с отступом Знак"/>
    <w:basedOn w:val="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customStyle="1" w:styleId="15">
    <w:name w:val="Основной текст_"/>
    <w:basedOn w:val="3"/>
    <w:link w:val="16"/>
    <w:qFormat/>
    <w:locked/>
    <w:uiPriority w:val="0"/>
    <w:rPr>
      <w:rFonts w:ascii="Times New Roman" w:hAnsi="Times New Roman" w:eastAsia="Times New Roman" w:cs="Times New Roman"/>
    </w:rPr>
  </w:style>
  <w:style w:type="paragraph" w:customStyle="1" w:styleId="16">
    <w:name w:val="Основной текст1"/>
    <w:basedOn w:val="1"/>
    <w:link w:val="15"/>
    <w:qFormat/>
    <w:uiPriority w:val="0"/>
    <w:pPr>
      <w:widowControl w:val="0"/>
      <w:suppressAutoHyphens w:val="0"/>
    </w:pPr>
    <w:rPr>
      <w:sz w:val="22"/>
      <w:szCs w:val="22"/>
      <w:lang w:eastAsia="en-US"/>
    </w:rPr>
  </w:style>
  <w:style w:type="character" w:customStyle="1" w:styleId="17">
    <w:name w:val="Основной текст с отступом Знак1"/>
    <w:link w:val="10"/>
    <w:qFormat/>
    <w:locked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customStyle="1" w:styleId="18">
    <w:name w:val="Верхний колонтитул Знак"/>
    <w:basedOn w:val="3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customStyle="1" w:styleId="19">
    <w:name w:val="Нижний колонтитул Знак"/>
    <w:basedOn w:val="3"/>
    <w:link w:val="11"/>
    <w:qFormat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customStyle="1" w:styleId="20">
    <w:name w:val="Текст выноски Знак"/>
    <w:basedOn w:val="3"/>
    <w:link w:val="7"/>
    <w:semiHidden/>
    <w:qFormat/>
    <w:uiPriority w:val="99"/>
    <w:rPr>
      <w:rFonts w:ascii="Segoe UI" w:hAnsi="Segoe UI" w:eastAsia="Times New Roman" w:cs="Segoe UI"/>
      <w:sz w:val="18"/>
      <w:szCs w:val="18"/>
      <w:lang w:eastAsia="ar-SA"/>
    </w:rPr>
  </w:style>
  <w:style w:type="paragraph" w:customStyle="1" w:styleId="21">
    <w:name w:val="ConsPlusNormal"/>
    <w:link w:val="22"/>
    <w:qFormat/>
    <w:uiPriority w:val="0"/>
    <w:pPr>
      <w:suppressAutoHyphens/>
      <w:spacing w:after="0" w:line="240" w:lineRule="auto"/>
      <w:ind w:firstLine="720"/>
    </w:pPr>
    <w:rPr>
      <w:rFonts w:ascii="Times New Roman" w:hAnsi="Times New Roman" w:eastAsia="Times New Roman" w:cs="Times New Roman"/>
      <w:color w:val="000000"/>
      <w:sz w:val="20"/>
      <w:szCs w:val="20"/>
      <w:u w:color="000000"/>
      <w:lang w:val="ru-RU" w:eastAsia="ru-RU" w:bidi="ar-SA"/>
    </w:rPr>
  </w:style>
  <w:style w:type="character" w:customStyle="1" w:styleId="22">
    <w:name w:val="ConsPlusNormal Знак"/>
    <w:link w:val="21"/>
    <w:qFormat/>
    <w:locked/>
    <w:uiPriority w:val="0"/>
    <w:rPr>
      <w:rFonts w:ascii="Times New Roman" w:hAnsi="Times New Roman" w:eastAsia="Times New Roman" w:cs="Times New Roman"/>
      <w:color w:val="000000"/>
      <w:sz w:val="20"/>
      <w:szCs w:val="20"/>
      <w:u w:color="000000"/>
      <w:lang w:eastAsia="ru-RU"/>
    </w:rPr>
  </w:style>
  <w:style w:type="character" w:customStyle="1" w:styleId="23">
    <w:name w:val="section__info2"/>
    <w:basedOn w:val="3"/>
    <w:qFormat/>
    <w:uiPriority w:val="0"/>
    <w:rPr>
      <w:sz w:val="24"/>
      <w:szCs w:val="24"/>
    </w:rPr>
  </w:style>
  <w:style w:type="paragraph" w:customStyle="1" w:styleId="24">
    <w:name w:val="Standard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character" w:customStyle="1" w:styleId="25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  <w:style w:type="paragraph" w:styleId="26">
    <w:name w:val="List Paragraph"/>
    <w:basedOn w:val="1"/>
    <w:qFormat/>
    <w:uiPriority w:val="34"/>
    <w:pPr>
      <w:suppressAutoHyphens w:val="0"/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27">
    <w:name w:val="section__info"/>
    <w:basedOn w:val="3"/>
    <w:qFormat/>
    <w:uiPriority w:val="0"/>
  </w:style>
  <w:style w:type="character" w:customStyle="1" w:styleId="28">
    <w:name w:val="Текст сноски Знак"/>
    <w:basedOn w:val="3"/>
    <w:link w:val="8"/>
    <w:qFormat/>
    <w:uiPriority w:val="99"/>
    <w:rPr>
      <w:rFonts w:ascii="Calibri" w:hAnsi="Calibri" w:eastAsia="Times New Roman" w:cs="Times New Roman"/>
      <w:sz w:val="20"/>
      <w:szCs w:val="20"/>
      <w:lang w:eastAsia="ru-RU"/>
    </w:rPr>
  </w:style>
  <w:style w:type="character" w:customStyle="1" w:styleId="29">
    <w:name w:val="Заголовок 3 Знак"/>
    <w:basedOn w:val="3"/>
    <w:link w:val="2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sz w:val="24"/>
      <w:szCs w:val="24"/>
      <w:lang w:eastAsia="ar-SA"/>
    </w:rPr>
  </w:style>
  <w:style w:type="paragraph" w:styleId="30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31">
    <w:name w:val="VL_Основной текст"/>
    <w:basedOn w:val="1"/>
    <w:link w:val="32"/>
    <w:qFormat/>
    <w:uiPriority w:val="0"/>
    <w:pPr>
      <w:suppressAutoHyphens w:val="0"/>
      <w:spacing w:before="240"/>
      <w:jc w:val="both"/>
    </w:pPr>
    <w:rPr>
      <w:rFonts w:eastAsia="Calibri"/>
      <w:color w:val="141618"/>
      <w:sz w:val="22"/>
      <w:szCs w:val="22"/>
      <w:lang w:eastAsia="en-US"/>
    </w:rPr>
  </w:style>
  <w:style w:type="character" w:customStyle="1" w:styleId="32">
    <w:name w:val="VL_Основной текст Знак"/>
    <w:link w:val="31"/>
    <w:qFormat/>
    <w:uiPriority w:val="0"/>
    <w:rPr>
      <w:rFonts w:ascii="Times New Roman" w:hAnsi="Times New Roman" w:eastAsia="Calibri" w:cs="Times New Roman"/>
      <w:color w:val="1416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2661E-6D48-45A5-9C57-66B0B6113C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2667</Words>
  <Characters>15204</Characters>
  <Lines>126</Lines>
  <Paragraphs>35</Paragraphs>
  <TotalTime>1009</TotalTime>
  <ScaleCrop>false</ScaleCrop>
  <LinksUpToDate>false</LinksUpToDate>
  <CharactersWithSpaces>17836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2024-09-19T06:54:00Z</dcterms:created>
  <dc:creator>Анна Николаевна Столбова</dc:creator>
  <cp:lastModifiedBy>79100</cp:lastModifiedBy>
  <cp:lastPrinted>2025-10-20T13:17:00Z</cp:lastPrinted>
  <dcterms:modified xsi:type="dcterms:W3CDTF">2025-12-15T20:57:28Z</dcterms:modified>
  <cp:revision>708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3DC0790259284330AD41DA7C37A208A4_13</vt:lpwstr>
  </property>
</Properties>
</file>