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5000000">
      <w:pPr>
        <w:tabs>
          <w:tab w:leader="none" w:pos="6015" w:val="left"/>
        </w:tabs>
        <w:spacing w:before="0" w:line="280" w:lineRule="exact"/>
        <w:ind w:firstLine="0" w:left="0"/>
        <w:outlineLvl w:val="0"/>
        <w:rPr>
          <w:b w:val="1"/>
          <w:color w:val="000000"/>
          <w:sz w:val="26"/>
        </w:rPr>
      </w:pPr>
      <w:bookmarkStart w:id="1" w:name="_GoBack"/>
      <w:bookmarkEnd w:id="1"/>
    </w:p>
    <w:p w14:paraId="06000000">
      <w:pPr>
        <w:tabs>
          <w:tab w:leader="none" w:pos="6015" w:val="left"/>
        </w:tabs>
        <w:spacing w:before="0" w:line="280" w:lineRule="exact"/>
        <w:ind w:firstLine="0" w:left="0"/>
        <w:outlineLvl w:val="0"/>
        <w:rPr>
          <w:b w:val="1"/>
          <w:color w:val="000000"/>
          <w:sz w:val="26"/>
        </w:rPr>
      </w:pPr>
      <w:r>
        <w:rPr>
          <w:b w:val="1"/>
          <w:color w:val="000000"/>
          <w:sz w:val="26"/>
        </w:rPr>
        <w:t xml:space="preserve">               </w:t>
      </w:r>
      <w:r>
        <w:rPr>
          <w:b w:val="1"/>
          <w:color w:val="000000"/>
          <w:sz w:val="26"/>
        </w:rPr>
        <w:t xml:space="preserve">  </w:t>
      </w:r>
      <w:r>
        <w:rPr>
          <w:b w:val="1"/>
          <w:color w:val="000000"/>
          <w:sz w:val="26"/>
        </w:rPr>
        <w:t xml:space="preserve">                                                    </w:t>
      </w:r>
      <w:r>
        <w:rPr>
          <w:b w:val="1"/>
          <w:color w:val="000000"/>
          <w:sz w:val="26"/>
        </w:rPr>
        <w:t>Заказчик:</w:t>
      </w:r>
      <w:r>
        <w:rPr>
          <w:b w:val="1"/>
          <w:color w:val="000000"/>
          <w:sz w:val="26"/>
        </w:rPr>
        <w:tab/>
      </w:r>
    </w:p>
    <w:p w14:paraId="07000000">
      <w:pPr>
        <w:spacing w:before="0" w:line="280" w:lineRule="exact"/>
        <w:ind w:firstLine="0" w:left="4536"/>
        <w:outlineLvl w:val="0"/>
        <w:rPr>
          <w:color w:val="000000"/>
          <w:sz w:val="26"/>
        </w:rPr>
      </w:pPr>
      <w:r>
        <w:rPr>
          <w:color w:val="000000"/>
          <w:sz w:val="26"/>
        </w:rPr>
        <w:t>Государственное казенное учреждение Московской области «Дирекция единого заказчика министерства здравоохранения Московской области»</w:t>
      </w:r>
    </w:p>
    <w:p w14:paraId="08000000">
      <w:pPr>
        <w:spacing w:before="0" w:line="280" w:lineRule="exact"/>
        <w:ind w:firstLine="0" w:left="4536"/>
        <w:outlineLvl w:val="0"/>
        <w:rPr>
          <w:color w:val="000000"/>
          <w:sz w:val="26"/>
        </w:rPr>
      </w:pPr>
      <w:r>
        <w:rPr>
          <w:color w:val="000000"/>
          <w:sz w:val="26"/>
        </w:rPr>
        <w:t>пер. Оптический, д. 7, г. Красногорск, Московская обл., 143402</w:t>
      </w:r>
    </w:p>
    <w:p w14:paraId="09000000">
      <w:pPr>
        <w:spacing w:before="0" w:line="280" w:lineRule="exact"/>
        <w:ind w:firstLine="0" w:left="4536"/>
        <w:outlineLvl w:val="0"/>
        <w:rPr>
          <w:color w:val="000000"/>
          <w:sz w:val="26"/>
        </w:rPr>
      </w:pPr>
      <w:r>
        <w:rPr>
          <w:color w:val="000000"/>
          <w:sz w:val="26"/>
        </w:rPr>
        <w:t>ИНН 5024068656</w:t>
      </w:r>
    </w:p>
    <w:p w14:paraId="0A000000">
      <w:pPr>
        <w:spacing w:before="0" w:line="280" w:lineRule="exact"/>
        <w:ind w:firstLine="0" w:left="4536"/>
        <w:outlineLvl w:val="0"/>
        <w:rPr>
          <w:color w:val="000000"/>
          <w:sz w:val="26"/>
        </w:rPr>
      </w:pPr>
      <w:r>
        <w:rPr>
          <w:color w:val="000000"/>
          <w:sz w:val="26"/>
        </w:rPr>
        <w:t>44fz@gku-mo.ru</w:t>
      </w:r>
    </w:p>
    <w:p w14:paraId="0B000000">
      <w:pPr>
        <w:spacing w:before="0" w:line="280" w:lineRule="exact"/>
        <w:ind w:firstLine="0" w:left="0"/>
        <w:outlineLvl w:val="0"/>
        <w:rPr>
          <w:color w:val="000000"/>
          <w:sz w:val="26"/>
        </w:rPr>
      </w:pPr>
    </w:p>
    <w:p w14:paraId="0C000000">
      <w:pPr>
        <w:spacing w:before="0" w:line="280" w:lineRule="exact"/>
        <w:ind w:firstLine="0" w:left="4536"/>
        <w:outlineLvl w:val="0"/>
        <w:rPr>
          <w:b w:val="1"/>
          <w:color w:val="000000"/>
          <w:sz w:val="26"/>
        </w:rPr>
      </w:pPr>
      <w:r>
        <w:rPr>
          <w:b w:val="1"/>
          <w:color w:val="000000"/>
          <w:sz w:val="26"/>
        </w:rPr>
        <w:t>Заявитель:</w:t>
      </w:r>
    </w:p>
    <w:p w14:paraId="0D000000">
      <w:pPr>
        <w:spacing w:before="0" w:line="280" w:lineRule="exact"/>
        <w:ind w:firstLine="0" w:left="4536"/>
        <w:outlineLvl w:val="0"/>
        <w:rPr>
          <w:color w:val="000000"/>
          <w:sz w:val="26"/>
        </w:rPr>
      </w:pPr>
      <w:r>
        <w:rPr>
          <w:color w:val="000000"/>
          <w:sz w:val="26"/>
        </w:rPr>
        <w:t>Общественная организация «Союз добросовестных поставщиков товаров, работ и услуг для государственных, муниципальных и коммерческих нужд»</w:t>
      </w:r>
    </w:p>
    <w:p w14:paraId="0E000000">
      <w:pPr>
        <w:spacing w:before="0" w:line="280" w:lineRule="exact"/>
        <w:ind w:firstLine="0" w:left="4536"/>
        <w:outlineLvl w:val="0"/>
        <w:rPr>
          <w:color w:val="000000"/>
          <w:sz w:val="26"/>
        </w:rPr>
      </w:pPr>
      <w:r>
        <w:rPr>
          <w:color w:val="000000"/>
          <w:sz w:val="26"/>
        </w:rPr>
        <w:t>Летняя ул., д. 7, стр. 2, ком. 23, Москва, 109387</w:t>
      </w:r>
    </w:p>
    <w:p w14:paraId="0F000000">
      <w:pPr>
        <w:spacing w:before="0" w:line="280" w:lineRule="exact"/>
        <w:ind w:firstLine="142" w:left="4394"/>
        <w:outlineLvl w:val="0"/>
        <w:rPr>
          <w:color w:val="000000"/>
          <w:sz w:val="26"/>
        </w:rPr>
      </w:pPr>
      <w:r>
        <w:rPr>
          <w:color w:val="000000"/>
          <w:sz w:val="26"/>
        </w:rPr>
        <w:t>ИНН 7720355225</w:t>
      </w:r>
    </w:p>
    <w:p w14:paraId="10000000">
      <w:pPr>
        <w:spacing w:before="0" w:line="280" w:lineRule="exact"/>
        <w:ind w:firstLine="142" w:left="4394"/>
        <w:outlineLvl w:val="0"/>
        <w:rPr>
          <w:b w:val="1"/>
          <w:sz w:val="26"/>
        </w:rPr>
      </w:pPr>
      <w:r>
        <w:rPr>
          <w:color w:val="000000"/>
          <w:sz w:val="26"/>
        </w:rPr>
        <w:t>info@souzdp.ru</w:t>
      </w:r>
    </w:p>
    <w:p w14:paraId="11000000">
      <w:pPr>
        <w:spacing w:before="0" w:line="280" w:lineRule="exact"/>
        <w:ind w:firstLine="0" w:left="0"/>
        <w:outlineLvl w:val="0"/>
        <w:rPr>
          <w:b w:val="1"/>
          <w:sz w:val="26"/>
        </w:rPr>
      </w:pPr>
    </w:p>
    <w:p w14:paraId="12000000">
      <w:pPr>
        <w:spacing w:before="0" w:line="280" w:lineRule="exact"/>
        <w:ind w:firstLine="142" w:left="3969"/>
        <w:outlineLvl w:val="0"/>
        <w:rPr>
          <w:color w:val="000000"/>
          <w:sz w:val="26"/>
        </w:rPr>
      </w:pPr>
      <w:r>
        <w:rPr>
          <w:b w:val="1"/>
          <w:sz w:val="26"/>
        </w:rPr>
        <w:t>РЕШЕНИЕ</w:t>
      </w:r>
    </w:p>
    <w:p w14:paraId="13000000">
      <w:pPr>
        <w:spacing w:before="0" w:line="276" w:lineRule="auto"/>
        <w:ind w:firstLine="0" w:left="0"/>
        <w:jc w:val="center"/>
        <w:rPr>
          <w:sz w:val="26"/>
        </w:rPr>
      </w:pPr>
      <w:r>
        <w:rPr>
          <w:sz w:val="26"/>
        </w:rPr>
        <w:t xml:space="preserve">по делу </w:t>
      </w:r>
      <w:r>
        <w:rPr>
          <w:sz w:val="26"/>
        </w:rPr>
        <w:t xml:space="preserve">№ </w:t>
      </w:r>
      <w:r>
        <w:rPr>
          <w:sz w:val="26"/>
        </w:rPr>
        <w:t>050/06/99-49784/2023</w:t>
      </w:r>
      <w:r>
        <w:rPr>
          <w:sz w:val="26"/>
        </w:rPr>
        <w:t xml:space="preserve"> </w:t>
      </w:r>
      <w:r>
        <w:rPr>
          <w:sz w:val="26"/>
        </w:rPr>
        <w:t xml:space="preserve">о нарушении </w:t>
      </w:r>
    </w:p>
    <w:p w14:paraId="14000000">
      <w:pPr>
        <w:spacing w:before="0" w:line="276" w:lineRule="auto"/>
        <w:ind w:firstLine="0" w:left="0"/>
        <w:jc w:val="center"/>
        <w:rPr>
          <w:sz w:val="26"/>
        </w:rPr>
      </w:pPr>
      <w:r>
        <w:rPr>
          <w:sz w:val="26"/>
        </w:rPr>
        <w:t xml:space="preserve">законодательства Российской Федерации </w:t>
      </w:r>
    </w:p>
    <w:p w14:paraId="15000000">
      <w:pPr>
        <w:spacing w:before="0" w:line="276" w:lineRule="auto"/>
        <w:ind w:firstLine="0" w:left="0"/>
        <w:jc w:val="center"/>
        <w:rPr>
          <w:sz w:val="26"/>
        </w:rPr>
      </w:pPr>
      <w:r>
        <w:rPr>
          <w:sz w:val="26"/>
        </w:rPr>
        <w:t>о контрактной системе в сфере закупок</w:t>
      </w:r>
    </w:p>
    <w:tbl>
      <w:tblPr>
        <w:tblStyle w:val="Style_2"/>
        <w:tblLayout w:type="fixed"/>
      </w:tblPr>
      <w:tblGrid>
        <w:gridCol w:w="4842"/>
        <w:gridCol w:w="4622"/>
      </w:tblGrid>
      <w:tr>
        <w:tc>
          <w:tcPr>
            <w:tcW w:type="dxa" w:w="4842"/>
          </w:tcPr>
          <w:p w14:paraId="16000000">
            <w:pPr>
              <w:tabs>
                <w:tab w:leader="none" w:pos="1590" w:val="left"/>
              </w:tabs>
              <w:spacing w:before="0" w:line="276" w:lineRule="auto"/>
              <w:ind w:firstLine="0" w:left="0"/>
              <w:rPr>
                <w:sz w:val="26"/>
              </w:rPr>
            </w:pPr>
            <w:r>
              <w:rPr>
                <w:sz w:val="26"/>
              </w:rPr>
              <w:t>23</w:t>
            </w:r>
            <w:r>
              <w:rPr>
                <w:sz w:val="26"/>
              </w:rPr>
              <w:t>.</w:t>
            </w:r>
            <w:r>
              <w:rPr>
                <w:sz w:val="26"/>
              </w:rPr>
              <w:t>01</w:t>
            </w:r>
            <w:r>
              <w:rPr>
                <w:sz w:val="26"/>
              </w:rPr>
              <w:t>.2023</w:t>
            </w:r>
            <w:r>
              <w:rPr>
                <w:sz w:val="26"/>
              </w:rPr>
              <w:t>4</w:t>
            </w:r>
          </w:p>
        </w:tc>
        <w:tc>
          <w:tcPr>
            <w:tcW w:type="dxa" w:w="4622"/>
          </w:tcPr>
          <w:p w14:paraId="17000000">
            <w:pPr>
              <w:spacing w:before="0" w:line="276" w:lineRule="auto"/>
              <w:ind w:firstLine="0" w:left="0" w:right="-72"/>
              <w:jc w:val="right"/>
              <w:rPr>
                <w:color w:val="000000"/>
                <w:sz w:val="26"/>
              </w:rPr>
            </w:pPr>
            <w:r>
              <w:rPr>
                <w:sz w:val="26"/>
              </w:rPr>
              <w:t>Москва</w:t>
            </w:r>
          </w:p>
        </w:tc>
      </w:tr>
    </w:tbl>
    <w:p w14:paraId="18000000">
      <w:pPr>
        <w:spacing w:before="0" w:line="276" w:lineRule="auto"/>
        <w:ind w:firstLine="696" w:left="0"/>
        <w:jc w:val="both"/>
        <w:rPr>
          <w:sz w:val="26"/>
        </w:rPr>
      </w:pPr>
      <w:r>
        <w:rPr>
          <w:sz w:val="26"/>
        </w:rPr>
        <w:t xml:space="preserve">Комиссия Московского областного </w:t>
      </w:r>
      <w:r>
        <w:rPr>
          <w:sz w:val="26"/>
        </w:rPr>
        <w:t xml:space="preserve">УФАС России по контролю в сфере </w:t>
      </w:r>
      <w:r>
        <w:rPr>
          <w:sz w:val="26"/>
        </w:rPr>
        <w:t>закупок товаров, работ, услуг для обеспечения государственных и муниципальных нужд</w:t>
      </w:r>
      <w:r>
        <w:rPr>
          <w:sz w:val="26"/>
        </w:rPr>
        <w:t xml:space="preserve"> (далее – Управление, Комиссия),</w:t>
      </w:r>
    </w:p>
    <w:p w14:paraId="19000000">
      <w:pPr>
        <w:spacing w:before="0" w:line="276" w:lineRule="auto"/>
        <w:ind w:firstLine="709" w:left="0"/>
        <w:jc w:val="both"/>
        <w:rPr>
          <w:sz w:val="26"/>
        </w:rPr>
      </w:pPr>
      <w:r>
        <w:rPr>
          <w:sz w:val="26"/>
        </w:rPr>
        <w:t xml:space="preserve">рассмотрев </w:t>
      </w:r>
      <w:r>
        <w:rPr>
          <w:sz w:val="26"/>
        </w:rPr>
        <w:t xml:space="preserve">обращение </w:t>
      </w:r>
      <w:r>
        <w:rPr>
          <w:sz w:val="26"/>
        </w:rPr>
        <w:t xml:space="preserve">Общественной организации «Союз добросовестных поставщиков товаров, работ и услуг для государственных, муниципальных и коммерческих нужд» </w:t>
      </w:r>
      <w:r>
        <w:rPr>
          <w:sz w:val="26"/>
        </w:rPr>
        <w:t xml:space="preserve">(далее – Заявитель) на действия (бездействие) </w:t>
      </w:r>
      <w:r>
        <w:rPr>
          <w:sz w:val="26"/>
        </w:rPr>
        <w:t>Государственного казенного учреждения Московской области «Дирекция единого заказчика министерства здравоохранения Московской области»</w:t>
      </w:r>
      <w:r>
        <w:rPr>
          <w:sz w:val="26"/>
        </w:rPr>
        <w:t xml:space="preserve"> (далее – Заказчик) при определении поставщика (подрядчика, исполнителя) путем проведения </w:t>
      </w:r>
      <w:r>
        <w:rPr>
          <w:sz w:val="26"/>
        </w:rPr>
        <w:t xml:space="preserve">ООО </w:t>
      </w:r>
      <w:r>
        <w:rPr>
          <w:sz w:val="26"/>
        </w:rPr>
        <w:t xml:space="preserve">«РТС-тендер» </w:t>
      </w:r>
      <w:r>
        <w:rPr>
          <w:sz w:val="26"/>
        </w:rPr>
        <w:t xml:space="preserve">(далее – Оператор электронной площадки) </w:t>
      </w:r>
      <w:r>
        <w:rPr>
          <w:sz w:val="26"/>
          <w:highlight w:val="white"/>
        </w:rPr>
        <w:t xml:space="preserve">электронного аукциона </w:t>
      </w:r>
      <w:r>
        <w:rPr>
          <w:sz w:val="26"/>
        </w:rPr>
        <w:t xml:space="preserve">на </w:t>
      </w:r>
      <w:r>
        <w:rPr>
          <w:rStyle w:val="Style_3_ch"/>
          <w:sz w:val="26"/>
        </w:rPr>
        <w:t xml:space="preserve">оказание услуг </w:t>
      </w:r>
      <w:r>
        <w:rPr>
          <w:rStyle w:val="Style_3_ch"/>
          <w:sz w:val="26"/>
        </w:rPr>
        <w:t xml:space="preserve">на </w:t>
      </w:r>
      <w:r>
        <w:rPr>
          <w:rStyle w:val="Style_3_ch"/>
          <w:sz w:val="26"/>
        </w:rPr>
        <w:t>о</w:t>
      </w:r>
      <w:r>
        <w:rPr>
          <w:rStyle w:val="Style_3_ch"/>
          <w:sz w:val="26"/>
        </w:rPr>
        <w:t>казание услуг автоматизированного анализа и разметки на основе искусственного интеллекта инструментальных исследований при работе в государственной информационной системе «Единая медицинская информационно-аналитическая система Московской области»</w:t>
      </w:r>
      <w:r>
        <w:rPr>
          <w:rStyle w:val="Style_3_ch"/>
          <w:sz w:val="26"/>
        </w:rPr>
        <w:t xml:space="preserve"> </w:t>
      </w:r>
      <w:r>
        <w:rPr>
          <w:sz w:val="26"/>
        </w:rPr>
        <w:t xml:space="preserve">(извещение № </w:t>
      </w:r>
      <w:r>
        <w:rPr>
          <w:sz w:val="26"/>
        </w:rPr>
        <w:t>0348200081023002027</w:t>
      </w:r>
      <w:r>
        <w:rPr>
          <w:sz w:val="26"/>
        </w:rPr>
        <w:t xml:space="preserve"> </w:t>
      </w:r>
      <w:r>
        <w:rPr>
          <w:sz w:val="26"/>
        </w:rPr>
        <w:t xml:space="preserve">на официальном сайте Единой информационной системы в сфере закупок – </w:t>
      </w:r>
      <w:r>
        <w:rPr>
          <w:sz w:val="26"/>
        </w:rPr>
        <w:t>www</w:t>
      </w:r>
      <w:r>
        <w:rPr>
          <w:sz w:val="26"/>
        </w:rPr>
        <w:t>.zakupki.g</w:t>
      </w:r>
      <w:r>
        <w:rPr>
          <w:sz w:val="26"/>
        </w:rPr>
        <w:t>ov.ru (далее – Официальный сайт</w:t>
      </w:r>
      <w:r>
        <w:rPr>
          <w:sz w:val="26"/>
        </w:rPr>
        <w:t xml:space="preserve">) </w:t>
      </w:r>
      <w:r>
        <w:rPr>
          <w:sz w:val="26"/>
        </w:rPr>
        <w:t xml:space="preserve">(далее – </w:t>
      </w:r>
      <w:r>
        <w:rPr>
          <w:sz w:val="26"/>
        </w:rPr>
        <w:t>Аукцион</w:t>
      </w:r>
      <w:r>
        <w:rPr>
          <w:sz w:val="26"/>
        </w:rPr>
        <w:t>)</w:t>
      </w:r>
      <w:r>
        <w:rPr>
          <w:sz w:val="26"/>
        </w:rPr>
        <w:t xml:space="preserve"> и в результате осуществления внеплановой проверки в части доводов </w:t>
      </w:r>
      <w:r>
        <w:rPr>
          <w:sz w:val="26"/>
        </w:rPr>
        <w:t xml:space="preserve">обращения </w:t>
      </w:r>
      <w:r>
        <w:rPr>
          <w:sz w:val="26"/>
        </w:rPr>
        <w:t>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w:t>
      </w:r>
      <w:r>
        <w:rPr>
          <w:sz w:val="26"/>
        </w:rPr>
        <w:t>ых и муниципальных нужд» (далее – Закон о контрактной системе),</w:t>
      </w:r>
    </w:p>
    <w:p w14:paraId="1A000000">
      <w:pPr>
        <w:spacing w:before="0" w:line="276" w:lineRule="auto"/>
        <w:ind w:firstLine="709" w:left="0"/>
        <w:jc w:val="center"/>
        <w:rPr>
          <w:b w:val="1"/>
          <w:sz w:val="27"/>
        </w:rPr>
      </w:pPr>
    </w:p>
    <w:p w14:paraId="1B000000">
      <w:pPr>
        <w:spacing w:before="0" w:line="276" w:lineRule="auto"/>
        <w:ind w:firstLine="709" w:left="0"/>
        <w:jc w:val="center"/>
        <w:rPr>
          <w:sz w:val="27"/>
        </w:rPr>
      </w:pPr>
      <w:r>
        <w:rPr>
          <w:b w:val="1"/>
          <w:sz w:val="27"/>
        </w:rPr>
        <w:t>УСТАНОВИЛА</w:t>
      </w:r>
      <w:r>
        <w:rPr>
          <w:sz w:val="27"/>
        </w:rPr>
        <w:t>:</w:t>
      </w:r>
    </w:p>
    <w:p w14:paraId="1C000000">
      <w:pPr>
        <w:spacing w:before="0" w:line="276" w:lineRule="auto"/>
        <w:ind w:firstLine="709" w:left="0"/>
        <w:jc w:val="center"/>
        <w:rPr>
          <w:sz w:val="26"/>
        </w:rPr>
      </w:pPr>
    </w:p>
    <w:p w14:paraId="1D000000">
      <w:pPr>
        <w:widowControl w:val="1"/>
        <w:tabs>
          <w:tab w:leader="none" w:pos="993" w:val="left"/>
        </w:tabs>
        <w:spacing w:before="0" w:line="276" w:lineRule="auto"/>
        <w:ind w:firstLine="709" w:left="0"/>
        <w:jc w:val="both"/>
        <w:rPr>
          <w:sz w:val="26"/>
        </w:rPr>
      </w:pPr>
      <w:r>
        <w:rPr>
          <w:sz w:val="26"/>
        </w:rPr>
        <w:t>В Управление поступил</w:t>
      </w:r>
      <w:r>
        <w:rPr>
          <w:sz w:val="26"/>
        </w:rPr>
        <w:t>о</w:t>
      </w:r>
      <w:r>
        <w:rPr>
          <w:sz w:val="26"/>
        </w:rPr>
        <w:t xml:space="preserve"> </w:t>
      </w:r>
      <w:r>
        <w:rPr>
          <w:sz w:val="26"/>
        </w:rPr>
        <w:t xml:space="preserve">обращение </w:t>
      </w:r>
      <w:r>
        <w:rPr>
          <w:sz w:val="26"/>
        </w:rPr>
        <w:t>З</w:t>
      </w:r>
      <w:r>
        <w:rPr>
          <w:sz w:val="26"/>
        </w:rPr>
        <w:t xml:space="preserve">аявителя на действия Заказчика </w:t>
      </w:r>
      <w:r>
        <w:rPr>
          <w:sz w:val="26"/>
        </w:rPr>
        <w:t xml:space="preserve">при проведении Заказчиком, Оператором электронной площадки </w:t>
      </w:r>
      <w:r>
        <w:rPr>
          <w:sz w:val="26"/>
        </w:rPr>
        <w:t>Аукциона</w:t>
      </w:r>
      <w:r>
        <w:rPr>
          <w:sz w:val="26"/>
        </w:rPr>
        <w:t>.</w:t>
      </w:r>
    </w:p>
    <w:p w14:paraId="1E000000">
      <w:pPr>
        <w:widowControl w:val="1"/>
        <w:tabs>
          <w:tab w:leader="none" w:pos="993" w:val="left"/>
        </w:tabs>
        <w:spacing w:before="0" w:line="276" w:lineRule="auto"/>
        <w:ind w:firstLine="709" w:left="0"/>
        <w:jc w:val="both"/>
        <w:rPr>
          <w:sz w:val="26"/>
        </w:rPr>
      </w:pPr>
      <w:r>
        <w:rPr>
          <w:sz w:val="26"/>
        </w:rPr>
        <w:t>По мнению Заявителя его права и законные интересы нарушены действиями Заказчика, ненадлежащим образом установившего положени</w:t>
      </w:r>
      <w:r>
        <w:rPr>
          <w:sz w:val="26"/>
        </w:rPr>
        <w:t>е</w:t>
      </w:r>
      <w:r>
        <w:rPr>
          <w:sz w:val="26"/>
        </w:rPr>
        <w:t xml:space="preserve"> извещени</w:t>
      </w:r>
      <w:r>
        <w:rPr>
          <w:sz w:val="26"/>
        </w:rPr>
        <w:t>я</w:t>
      </w:r>
      <w:r>
        <w:rPr>
          <w:sz w:val="26"/>
        </w:rPr>
        <w:t xml:space="preserve"> о проведении </w:t>
      </w:r>
      <w:r>
        <w:rPr>
          <w:sz w:val="26"/>
        </w:rPr>
        <w:t>Аукциона</w:t>
      </w:r>
      <w:r>
        <w:rPr>
          <w:sz w:val="26"/>
        </w:rPr>
        <w:t>.</w:t>
      </w:r>
      <w:r>
        <w:rPr>
          <w:sz w:val="26"/>
        </w:rPr>
        <w:t xml:space="preserve"> </w:t>
      </w:r>
    </w:p>
    <w:p w14:paraId="1F000000">
      <w:pPr>
        <w:widowControl w:val="1"/>
        <w:tabs>
          <w:tab w:leader="none" w:pos="993" w:val="left"/>
        </w:tabs>
        <w:spacing w:before="0" w:line="276" w:lineRule="auto"/>
        <w:ind w:firstLine="709" w:left="0"/>
        <w:jc w:val="both"/>
        <w:rPr>
          <w:sz w:val="26"/>
        </w:rPr>
      </w:pPr>
      <w:r>
        <w:rPr>
          <w:sz w:val="26"/>
        </w:rPr>
        <w:t xml:space="preserve">В соответствии с </w:t>
      </w:r>
      <w:r>
        <w:rPr>
          <w:sz w:val="26"/>
        </w:rPr>
        <w:t>Извещение</w:t>
      </w:r>
      <w:r>
        <w:rPr>
          <w:sz w:val="26"/>
        </w:rPr>
        <w:t>м</w:t>
      </w:r>
      <w:r>
        <w:rPr>
          <w:sz w:val="26"/>
        </w:rPr>
        <w:t xml:space="preserve"> о проведении </w:t>
      </w:r>
      <w:r>
        <w:rPr>
          <w:sz w:val="26"/>
        </w:rPr>
        <w:t>Аукциона</w:t>
      </w:r>
      <w:r>
        <w:rPr>
          <w:sz w:val="26"/>
        </w:rPr>
        <w:t xml:space="preserve">, протоколами, составленными при определении поставщика </w:t>
      </w:r>
      <w:r>
        <w:rPr>
          <w:sz w:val="26"/>
        </w:rPr>
        <w:t>(</w:t>
      </w:r>
      <w:r>
        <w:rPr>
          <w:sz w:val="26"/>
        </w:rPr>
        <w:t>подрядчика, исполнителя):</w:t>
      </w:r>
    </w:p>
    <w:p w14:paraId="20000000">
      <w:pPr>
        <w:tabs>
          <w:tab w:leader="none" w:pos="993" w:val="left"/>
        </w:tabs>
        <w:spacing w:before="0" w:line="276" w:lineRule="auto"/>
        <w:ind w:firstLine="709" w:left="0"/>
        <w:jc w:val="both"/>
        <w:rPr>
          <w:sz w:val="26"/>
        </w:rPr>
      </w:pPr>
      <w:r>
        <w:rPr>
          <w:sz w:val="26"/>
        </w:rPr>
        <w:t>1)</w:t>
      </w:r>
      <w:r>
        <w:rPr>
          <w:sz w:val="26"/>
        </w:rPr>
        <w:tab/>
      </w:r>
      <w:r>
        <w:rPr>
          <w:sz w:val="26"/>
        </w:rPr>
        <w:t xml:space="preserve">извещение о проведении </w:t>
      </w:r>
      <w:r>
        <w:rPr>
          <w:sz w:val="26"/>
        </w:rPr>
        <w:t>Аукциона</w:t>
      </w:r>
      <w:r>
        <w:rPr>
          <w:sz w:val="26"/>
        </w:rPr>
        <w:t xml:space="preserve"> </w:t>
      </w:r>
      <w:r>
        <w:rPr>
          <w:sz w:val="26"/>
        </w:rPr>
        <w:t xml:space="preserve">размещено </w:t>
      </w:r>
      <w:r>
        <w:rPr>
          <w:sz w:val="26"/>
        </w:rPr>
        <w:t>–</w:t>
      </w:r>
      <w:r>
        <w:rPr>
          <w:sz w:val="26"/>
        </w:rPr>
        <w:t xml:space="preserve"> </w:t>
      </w:r>
      <w:r>
        <w:rPr>
          <w:sz w:val="26"/>
        </w:rPr>
        <w:t>28</w:t>
      </w:r>
      <w:r>
        <w:rPr>
          <w:sz w:val="26"/>
        </w:rPr>
        <w:t>.</w:t>
      </w:r>
      <w:r>
        <w:rPr>
          <w:sz w:val="26"/>
        </w:rPr>
        <w:t>07</w:t>
      </w:r>
      <w:r>
        <w:rPr>
          <w:sz w:val="26"/>
        </w:rPr>
        <w:t>.2023</w:t>
      </w:r>
      <w:r>
        <w:rPr>
          <w:sz w:val="26"/>
        </w:rPr>
        <w:t>;</w:t>
      </w:r>
    </w:p>
    <w:p w14:paraId="21000000">
      <w:pPr>
        <w:tabs>
          <w:tab w:leader="none" w:pos="993" w:val="left"/>
        </w:tabs>
        <w:spacing w:before="0" w:line="276" w:lineRule="auto"/>
        <w:ind w:firstLine="709" w:left="0"/>
        <w:jc w:val="both"/>
        <w:rPr>
          <w:sz w:val="26"/>
        </w:rPr>
      </w:pPr>
      <w:r>
        <w:rPr>
          <w:sz w:val="26"/>
        </w:rPr>
        <w:t xml:space="preserve">2) начальная (максимальная) цена контракта – </w:t>
      </w:r>
      <w:r>
        <w:rPr>
          <w:sz w:val="26"/>
        </w:rPr>
        <w:t>32 099 960,00</w:t>
      </w:r>
      <w:r>
        <w:rPr>
          <w:sz w:val="26"/>
        </w:rPr>
        <w:t xml:space="preserve"> </w:t>
      </w:r>
      <w:r>
        <w:rPr>
          <w:sz w:val="26"/>
        </w:rPr>
        <w:t>рублей</w:t>
      </w:r>
      <w:r>
        <w:rPr>
          <w:sz w:val="26"/>
        </w:rPr>
        <w:t>;</w:t>
      </w:r>
    </w:p>
    <w:p w14:paraId="22000000">
      <w:pPr>
        <w:tabs>
          <w:tab w:leader="none" w:pos="993" w:val="left"/>
        </w:tabs>
        <w:spacing w:before="0" w:line="276" w:lineRule="auto"/>
        <w:ind w:firstLine="709" w:left="0"/>
        <w:jc w:val="both"/>
        <w:rPr>
          <w:sz w:val="26"/>
        </w:rPr>
      </w:pPr>
      <w:r>
        <w:rPr>
          <w:sz w:val="26"/>
        </w:rPr>
        <w:t>3</w:t>
      </w:r>
      <w:r>
        <w:rPr>
          <w:sz w:val="26"/>
        </w:rPr>
        <w:t>)</w:t>
      </w:r>
      <w:r>
        <w:rPr>
          <w:sz w:val="26"/>
        </w:rPr>
        <w:tab/>
      </w:r>
      <w:r>
        <w:rPr>
          <w:sz w:val="26"/>
        </w:rPr>
        <w:t xml:space="preserve">дата окончания подачи заявок – </w:t>
      </w:r>
      <w:r>
        <w:rPr>
          <w:sz w:val="26"/>
        </w:rPr>
        <w:t>07</w:t>
      </w:r>
      <w:r>
        <w:rPr>
          <w:sz w:val="26"/>
        </w:rPr>
        <w:t>.</w:t>
      </w:r>
      <w:r>
        <w:rPr>
          <w:sz w:val="26"/>
        </w:rPr>
        <w:t>08</w:t>
      </w:r>
      <w:r>
        <w:rPr>
          <w:sz w:val="26"/>
        </w:rPr>
        <w:t>.2023</w:t>
      </w:r>
      <w:r>
        <w:rPr>
          <w:sz w:val="26"/>
        </w:rPr>
        <w:t>;</w:t>
      </w:r>
      <w:r>
        <w:rPr>
          <w:sz w:val="26"/>
        </w:rPr>
        <w:t xml:space="preserve"> </w:t>
      </w:r>
    </w:p>
    <w:p w14:paraId="23000000">
      <w:pPr>
        <w:tabs>
          <w:tab w:leader="none" w:pos="993" w:val="left"/>
        </w:tabs>
        <w:spacing w:before="0" w:line="276" w:lineRule="auto"/>
        <w:ind w:firstLine="709" w:left="0"/>
        <w:jc w:val="both"/>
        <w:rPr>
          <w:sz w:val="26"/>
        </w:rPr>
      </w:pPr>
      <w:r>
        <w:rPr>
          <w:sz w:val="26"/>
        </w:rPr>
        <w:t xml:space="preserve">4) </w:t>
      </w:r>
      <w:r>
        <w:rPr>
          <w:sz w:val="26"/>
        </w:rPr>
        <w:t>на участие в Аукционе подана 1 заявка от участника</w:t>
      </w:r>
      <w:r>
        <w:rPr>
          <w:sz w:val="26"/>
        </w:rPr>
        <w:t xml:space="preserve"> закупки, </w:t>
      </w:r>
      <w:r>
        <w:rPr>
          <w:sz w:val="26"/>
        </w:rPr>
        <w:t xml:space="preserve">1 </w:t>
      </w:r>
      <w:r>
        <w:rPr>
          <w:sz w:val="26"/>
        </w:rPr>
        <w:t>признан</w:t>
      </w:r>
      <w:r>
        <w:rPr>
          <w:sz w:val="26"/>
        </w:rPr>
        <w:t>а</w:t>
      </w:r>
      <w:r>
        <w:rPr>
          <w:sz w:val="26"/>
        </w:rPr>
        <w:t xml:space="preserve"> соответствующ</w:t>
      </w:r>
      <w:r>
        <w:rPr>
          <w:sz w:val="26"/>
        </w:rPr>
        <w:t>ей</w:t>
      </w:r>
      <w:r>
        <w:rPr>
          <w:sz w:val="26"/>
        </w:rPr>
        <w:t xml:space="preserve"> требованиям извещения о проведении </w:t>
      </w:r>
      <w:r>
        <w:rPr>
          <w:sz w:val="26"/>
        </w:rPr>
        <w:t>Аукциона</w:t>
      </w:r>
      <w:r>
        <w:rPr>
          <w:sz w:val="26"/>
        </w:rPr>
        <w:t>.</w:t>
      </w:r>
    </w:p>
    <w:p w14:paraId="24000000">
      <w:pPr>
        <w:tabs>
          <w:tab w:leader="none" w:pos="993" w:val="left"/>
        </w:tabs>
        <w:spacing w:before="0" w:line="276" w:lineRule="auto"/>
        <w:ind w:firstLine="709" w:left="0"/>
        <w:jc w:val="both"/>
        <w:rPr>
          <w:sz w:val="26"/>
        </w:rPr>
      </w:pPr>
      <w:r>
        <w:rPr>
          <w:sz w:val="26"/>
        </w:rPr>
        <w:t>1</w:t>
      </w:r>
      <w:r>
        <w:rPr>
          <w:sz w:val="26"/>
        </w:rPr>
        <w:t xml:space="preserve">. </w:t>
      </w:r>
      <w:r>
        <w:rPr>
          <w:sz w:val="26"/>
        </w:rPr>
        <w:t xml:space="preserve">Согласно доводу </w:t>
      </w:r>
      <w:r>
        <w:rPr>
          <w:sz w:val="26"/>
        </w:rPr>
        <w:t xml:space="preserve">обращения </w:t>
      </w:r>
      <w:r>
        <w:rPr>
          <w:sz w:val="26"/>
        </w:rPr>
        <w:t xml:space="preserve">Заявителя, Заказчиком </w:t>
      </w:r>
      <w:r>
        <w:rPr>
          <w:sz w:val="26"/>
        </w:rPr>
        <w:t>неправомерно выбран код ОКПД2</w:t>
      </w:r>
      <w:r>
        <w:rPr>
          <w:sz w:val="26"/>
        </w:rPr>
        <w:t>.</w:t>
      </w:r>
    </w:p>
    <w:p w14:paraId="25000000">
      <w:pPr>
        <w:tabs>
          <w:tab w:leader="none" w:pos="993" w:val="left"/>
        </w:tabs>
        <w:spacing w:before="0" w:line="276" w:lineRule="auto"/>
        <w:ind w:firstLine="709" w:left="0"/>
        <w:jc w:val="both"/>
        <w:rPr>
          <w:sz w:val="26"/>
        </w:rPr>
      </w:pPr>
      <w:r>
        <w:rPr>
          <w:sz w:val="26"/>
        </w:rPr>
        <w:t xml:space="preserve">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w:t>
      </w:r>
      <w:r>
        <w:rPr>
          <w:sz w:val="26"/>
        </w:rPr>
        <w:t>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26000000">
      <w:pPr>
        <w:tabs>
          <w:tab w:leader="none" w:pos="993" w:val="left"/>
        </w:tabs>
        <w:spacing w:before="0" w:line="276" w:lineRule="auto"/>
        <w:ind w:firstLine="709" w:left="0"/>
        <w:jc w:val="both"/>
        <w:rPr>
          <w:sz w:val="26"/>
        </w:rPr>
      </w:pPr>
      <w:r>
        <w:rPr>
          <w:sz w:val="26"/>
        </w:rPr>
        <w:t xml:space="preserve">В </w:t>
      </w:r>
      <w:r>
        <w:rPr>
          <w:sz w:val="26"/>
        </w:rPr>
        <w:t>соответствии</w:t>
      </w:r>
      <w:r>
        <w:rPr>
          <w:sz w:val="26"/>
        </w:rPr>
        <w:t xml:space="preserve">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14:paraId="27000000">
      <w:pPr>
        <w:tabs>
          <w:tab w:leader="none" w:pos="993" w:val="left"/>
        </w:tabs>
        <w:spacing w:before="0" w:line="276" w:lineRule="auto"/>
        <w:ind/>
        <w:jc w:val="both"/>
        <w:rPr>
          <w:sz w:val="26"/>
        </w:rPr>
      </w:pPr>
      <w:r>
        <w:rPr>
          <w:sz w:val="26"/>
        </w:rPr>
        <w:t xml:space="preserve">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r>
        <w:rPr>
          <w:sz w:val="26"/>
        </w:rPr>
        <w:t>группировочные</w:t>
      </w:r>
      <w:r>
        <w:rPr>
          <w:sz w:val="26"/>
        </w:rPr>
        <w:t xml:space="preserve"> наименования.</w:t>
      </w:r>
    </w:p>
    <w:p w14:paraId="28000000">
      <w:pPr>
        <w:tabs>
          <w:tab w:leader="none" w:pos="993" w:val="left"/>
        </w:tabs>
        <w:spacing w:before="0" w:line="276" w:lineRule="auto"/>
        <w:ind/>
        <w:jc w:val="both"/>
        <w:rPr>
          <w:sz w:val="26"/>
        </w:rPr>
      </w:pPr>
      <w:r>
        <w:rPr>
          <w:sz w:val="26"/>
        </w:rP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14:paraId="29000000">
      <w:pPr>
        <w:tabs>
          <w:tab w:leader="none" w:pos="993" w:val="left"/>
        </w:tabs>
        <w:spacing w:before="0" w:line="276" w:lineRule="auto"/>
        <w:ind w:firstLine="709" w:left="0"/>
        <w:jc w:val="both"/>
        <w:rPr>
          <w:sz w:val="26"/>
        </w:rPr>
      </w:pPr>
      <w:r>
        <w:rPr>
          <w:sz w:val="26"/>
        </w:rPr>
        <w:t>Согласно пункту 3 части 2 статьи 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14:paraId="2A000000">
      <w:pPr>
        <w:tabs>
          <w:tab w:leader="none" w:pos="993" w:val="left"/>
        </w:tabs>
        <w:spacing w:before="0" w:line="276" w:lineRule="auto"/>
        <w:ind w:firstLine="709" w:left="0"/>
        <w:jc w:val="both"/>
        <w:rPr>
          <w:sz w:val="26"/>
        </w:rPr>
      </w:pPr>
      <w:r>
        <w:rPr>
          <w:sz w:val="26"/>
        </w:rPr>
        <w:t>На засед</w:t>
      </w:r>
      <w:r>
        <w:rPr>
          <w:sz w:val="26"/>
        </w:rPr>
        <w:t>ании</w:t>
      </w:r>
      <w:r>
        <w:rPr>
          <w:sz w:val="26"/>
        </w:rPr>
        <w:t xml:space="preserve"> ком</w:t>
      </w:r>
      <w:r>
        <w:rPr>
          <w:sz w:val="26"/>
        </w:rPr>
        <w:t>иссии</w:t>
      </w:r>
      <w:r>
        <w:rPr>
          <w:sz w:val="26"/>
        </w:rPr>
        <w:t xml:space="preserve"> устан</w:t>
      </w:r>
      <w:r>
        <w:rPr>
          <w:sz w:val="26"/>
        </w:rPr>
        <w:t>овлено</w:t>
      </w:r>
      <w:r>
        <w:rPr>
          <w:sz w:val="26"/>
        </w:rPr>
        <w:t xml:space="preserve"> что Зака</w:t>
      </w:r>
      <w:r>
        <w:rPr>
          <w:sz w:val="26"/>
        </w:rPr>
        <w:t>зчиком</w:t>
      </w:r>
      <w:r>
        <w:rPr>
          <w:sz w:val="26"/>
        </w:rPr>
        <w:t xml:space="preserve"> в </w:t>
      </w:r>
      <w:r>
        <w:rPr>
          <w:sz w:val="26"/>
        </w:rPr>
        <w:t xml:space="preserve">извещении </w:t>
      </w:r>
      <w:r>
        <w:rPr>
          <w:sz w:val="26"/>
        </w:rPr>
        <w:t xml:space="preserve">установлен код </w:t>
      </w:r>
      <w:r>
        <w:rPr>
          <w:sz w:val="26"/>
        </w:rPr>
        <w:t xml:space="preserve">ОКПД2 </w:t>
      </w:r>
      <w:r>
        <w:rPr>
          <w:sz w:val="26"/>
        </w:rPr>
        <w:t>62.02.30.000</w:t>
      </w:r>
      <w:r>
        <w:rPr>
          <w:sz w:val="26"/>
        </w:rPr>
        <w:t xml:space="preserve"> «</w:t>
      </w:r>
      <w:r>
        <w:rPr>
          <w:sz w:val="26"/>
        </w:rPr>
        <w:t>Услуги по технической поддержке информационных технологий</w:t>
      </w:r>
      <w:r>
        <w:rPr>
          <w:sz w:val="26"/>
        </w:rPr>
        <w:t>»</w:t>
      </w:r>
      <w:r>
        <w:rPr>
          <w:sz w:val="26"/>
        </w:rPr>
        <w:t>.</w:t>
      </w:r>
    </w:p>
    <w:p w14:paraId="2B000000">
      <w:pPr>
        <w:tabs>
          <w:tab w:leader="none" w:pos="993" w:val="left"/>
        </w:tabs>
        <w:spacing w:before="0" w:line="276" w:lineRule="auto"/>
        <w:ind w:firstLine="709" w:left="0"/>
        <w:jc w:val="both"/>
        <w:rPr>
          <w:sz w:val="26"/>
        </w:rPr>
      </w:pPr>
      <w:r>
        <w:rPr>
          <w:sz w:val="26"/>
        </w:rPr>
        <w:t xml:space="preserve">Вместе с тем, согласно извещению о проведении Аукциона объект закупки - </w:t>
      </w:r>
      <w:r>
        <w:rPr>
          <w:sz w:val="26"/>
        </w:rPr>
        <w:t xml:space="preserve"> </w:t>
      </w:r>
      <w:r>
        <w:rPr>
          <w:sz w:val="26"/>
        </w:rPr>
        <w:t>о</w:t>
      </w:r>
      <w:r>
        <w:rPr>
          <w:sz w:val="26"/>
        </w:rPr>
        <w:t>казание услуг автоматизированного анализа и разметки на основе искусственного интеллекта инструментальных исследований при работе в государственной информационной системе «Единая медицинская информационно-аналитическая система Московской области»</w:t>
      </w:r>
      <w:r>
        <w:rPr>
          <w:sz w:val="26"/>
        </w:rPr>
        <w:t>.</w:t>
      </w:r>
    </w:p>
    <w:p w14:paraId="2C000000">
      <w:pPr>
        <w:tabs>
          <w:tab w:leader="none" w:pos="993" w:val="left"/>
        </w:tabs>
        <w:spacing w:before="0" w:line="276" w:lineRule="auto"/>
        <w:ind w:firstLine="709" w:left="0"/>
        <w:jc w:val="both"/>
        <w:rPr>
          <w:sz w:val="26"/>
        </w:rPr>
      </w:pPr>
      <w:r>
        <w:rPr>
          <w:sz w:val="26"/>
        </w:rPr>
        <w:t>Согласно Техническому заданию, в</w:t>
      </w:r>
      <w:r>
        <w:rPr>
          <w:sz w:val="26"/>
        </w:rPr>
        <w:t xml:space="preserve"> рамках оказания услуг использования модулей «Автоматизированного анализа и разметки на основе искусственного интеллекта обработки результатов работы ИИ при анализе инструментальных исследований при работе в государственной информационной системе «Единая </w:t>
      </w:r>
      <w:r>
        <w:rPr>
          <w:sz w:val="26"/>
        </w:rPr>
        <w:t>медицинская информационно-аналитическая система Московской области» должна быть обеспечена совместимость модулей ИИ с используемым в регионе ПО Подсистемы ЕРИС ЕМИАС МО в части:</w:t>
      </w:r>
    </w:p>
    <w:p w14:paraId="2D000000">
      <w:pPr>
        <w:tabs>
          <w:tab w:leader="none" w:pos="993" w:val="left"/>
        </w:tabs>
        <w:spacing w:before="0" w:line="276" w:lineRule="auto"/>
        <w:ind w:firstLine="709" w:left="0"/>
        <w:jc w:val="both"/>
        <w:rPr>
          <w:sz w:val="26"/>
        </w:rPr>
      </w:pPr>
      <w:r>
        <w:rPr>
          <w:sz w:val="26"/>
        </w:rPr>
        <w:t>1.</w:t>
      </w:r>
      <w:r>
        <w:rPr>
          <w:sz w:val="26"/>
        </w:rPr>
        <w:tab/>
      </w:r>
      <w:r>
        <w:rPr>
          <w:sz w:val="26"/>
        </w:rPr>
        <w:t>отображения результата автоматического анализа в текстовом формате в виде проекта протокола на рабочем месте врача-рентгенолога в ЕРИС при написании протокола заключения;</w:t>
      </w:r>
    </w:p>
    <w:p w14:paraId="2E000000">
      <w:pPr>
        <w:tabs>
          <w:tab w:leader="none" w:pos="993" w:val="left"/>
        </w:tabs>
        <w:spacing w:before="0" w:line="276" w:lineRule="auto"/>
        <w:ind w:firstLine="709" w:left="0"/>
        <w:jc w:val="both"/>
        <w:rPr>
          <w:sz w:val="26"/>
        </w:rPr>
      </w:pPr>
      <w:r>
        <w:rPr>
          <w:sz w:val="26"/>
        </w:rPr>
        <w:t>2.</w:t>
      </w:r>
      <w:r>
        <w:rPr>
          <w:sz w:val="26"/>
        </w:rPr>
        <w:tab/>
      </w:r>
      <w:r>
        <w:rPr>
          <w:sz w:val="26"/>
        </w:rPr>
        <w:t>возможность просмотра результата автоматического анализа (сегментационная разметка) из рабочего места врача-рентгенолога в ЕРИС при написании протокола заключения.</w:t>
      </w:r>
    </w:p>
    <w:p w14:paraId="2F000000">
      <w:pPr>
        <w:tabs>
          <w:tab w:leader="none" w:pos="993" w:val="left"/>
        </w:tabs>
        <w:spacing w:before="0" w:line="276" w:lineRule="auto"/>
        <w:ind w:firstLine="709" w:left="0"/>
        <w:jc w:val="both"/>
        <w:rPr>
          <w:sz w:val="26"/>
        </w:rPr>
      </w:pPr>
      <w:r>
        <w:rPr>
          <w:sz w:val="26"/>
        </w:rPr>
        <w:t>Исполнитель должен реализовать функционал, представленный далее в настоящем разделе, а именно обеспечить работоспособность модулей анализа и разметки. Модули должны иметь регистрационное удостоверение как медицинское изделие в части функциональности, подпадающей под требования регистрации.</w:t>
      </w:r>
    </w:p>
    <w:p w14:paraId="30000000">
      <w:pPr>
        <w:tabs>
          <w:tab w:leader="none" w:pos="993" w:val="left"/>
        </w:tabs>
        <w:spacing w:before="0" w:line="276" w:lineRule="auto"/>
        <w:ind w:firstLine="709" w:left="0"/>
        <w:jc w:val="both"/>
        <w:rPr>
          <w:sz w:val="26"/>
        </w:rPr>
      </w:pPr>
      <w:r>
        <w:rPr>
          <w:sz w:val="26"/>
        </w:rPr>
        <w:t>Кроме того, в Техническом задании указан ОКПД2 58.29.50.000 «</w:t>
      </w:r>
      <w:r>
        <w:rPr>
          <w:sz w:val="26"/>
        </w:rPr>
        <w:t>Услуги по предоставлению лицензий на право использовать компьютерное программное обеспечение</w:t>
      </w:r>
      <w:r>
        <w:rPr>
          <w:sz w:val="26"/>
        </w:rPr>
        <w:t>».</w:t>
      </w:r>
    </w:p>
    <w:p w14:paraId="31000000">
      <w:pPr>
        <w:tabs>
          <w:tab w:leader="none" w:pos="993" w:val="left"/>
        </w:tabs>
        <w:spacing w:before="0" w:line="276" w:lineRule="auto"/>
        <w:ind w:firstLine="709" w:left="0"/>
        <w:jc w:val="both"/>
        <w:rPr>
          <w:sz w:val="26"/>
        </w:rPr>
      </w:pPr>
      <w:r>
        <w:rPr>
          <w:sz w:val="26"/>
        </w:rPr>
        <w:t>Вместе с тем код ОКПД2 58.29.50.000 не указан в извещение.</w:t>
      </w:r>
    </w:p>
    <w:p w14:paraId="32000000">
      <w:pPr>
        <w:tabs>
          <w:tab w:leader="none" w:pos="993" w:val="left"/>
        </w:tabs>
        <w:spacing w:before="0" w:line="276" w:lineRule="auto"/>
        <w:ind w:firstLine="709" w:left="0"/>
        <w:jc w:val="both"/>
        <w:rPr>
          <w:sz w:val="26"/>
        </w:rPr>
      </w:pPr>
      <w:r>
        <w:rPr>
          <w:sz w:val="26"/>
        </w:rPr>
        <w:t xml:space="preserve">Изучив документы и сведения, Комиссия приходит к выводу, что действия Заказчика в части установления кода </w:t>
      </w:r>
      <w:r>
        <w:rPr>
          <w:sz w:val="26"/>
        </w:rPr>
        <w:t>ОКПД2</w:t>
      </w:r>
      <w:r>
        <w:rPr>
          <w:sz w:val="26"/>
        </w:rPr>
        <w:t xml:space="preserve">, не </w:t>
      </w:r>
      <w:r>
        <w:rPr>
          <w:sz w:val="26"/>
        </w:rPr>
        <w:t>соответствующего</w:t>
      </w:r>
      <w:r>
        <w:rPr>
          <w:sz w:val="26"/>
        </w:rPr>
        <w:t xml:space="preserve"> </w:t>
      </w:r>
      <w:r>
        <w:rPr>
          <w:sz w:val="26"/>
        </w:rPr>
        <w:t>предмету закупки</w:t>
      </w:r>
      <w:r>
        <w:rPr>
          <w:sz w:val="26"/>
        </w:rPr>
        <w:t>,</w:t>
      </w:r>
      <w:r>
        <w:rPr>
          <w:sz w:val="26"/>
        </w:rPr>
        <w:t xml:space="preserve"> противоречат положениям Закона о контрактной системе.</w:t>
      </w:r>
    </w:p>
    <w:p w14:paraId="33000000">
      <w:pPr>
        <w:tabs>
          <w:tab w:leader="none" w:pos="993" w:val="left"/>
        </w:tabs>
        <w:spacing w:before="0" w:line="276" w:lineRule="auto"/>
        <w:ind w:firstLine="709" w:left="0"/>
        <w:jc w:val="both"/>
        <w:rPr>
          <w:sz w:val="26"/>
        </w:rPr>
      </w:pPr>
      <w:r>
        <w:rPr>
          <w:sz w:val="26"/>
        </w:rPr>
        <w:t>Вместе с тем, представитель Заказчика не представил документов и сведений, однозначно свидетельствующих об обратном.</w:t>
      </w:r>
    </w:p>
    <w:p w14:paraId="34000000">
      <w:pPr>
        <w:tabs>
          <w:tab w:leader="none" w:pos="993" w:val="left"/>
        </w:tabs>
        <w:spacing w:before="0" w:line="276" w:lineRule="auto"/>
        <w:ind w:firstLine="709" w:left="0"/>
        <w:jc w:val="both"/>
        <w:rPr>
          <w:sz w:val="26"/>
        </w:rPr>
      </w:pPr>
      <w:r>
        <w:rPr>
          <w:sz w:val="26"/>
        </w:rPr>
        <w:t>Таким образом, Комиссия приходит к выводу, что действия Заказчика нарушают пункт 1 части 2 статьи 42 Закона о контрактной системе, что содержит признаки состава административного правонарушения, предусмотренного частью 1.4 статьи 7.30 Кодекса Российской Федерации об административных правонарушениях.</w:t>
      </w:r>
    </w:p>
    <w:p w14:paraId="35000000">
      <w:pPr>
        <w:tabs>
          <w:tab w:leader="none" w:pos="993" w:val="left"/>
        </w:tabs>
        <w:spacing w:before="0" w:line="276" w:lineRule="auto"/>
        <w:ind w:firstLine="709" w:left="0"/>
        <w:jc w:val="both"/>
        <w:rPr>
          <w:sz w:val="26"/>
        </w:rPr>
      </w:pPr>
      <w:r>
        <w:rPr>
          <w:sz w:val="26"/>
        </w:rPr>
        <w:t xml:space="preserve">Следовательно, довод </w:t>
      </w:r>
      <w:r>
        <w:rPr>
          <w:sz w:val="26"/>
        </w:rPr>
        <w:t xml:space="preserve">обращения </w:t>
      </w:r>
      <w:r>
        <w:rPr>
          <w:sz w:val="26"/>
        </w:rPr>
        <w:t>Заявителя</w:t>
      </w:r>
      <w:r>
        <w:rPr>
          <w:sz w:val="26"/>
        </w:rPr>
        <w:t xml:space="preserve"> является обоснованным.</w:t>
      </w:r>
    </w:p>
    <w:p w14:paraId="36000000">
      <w:pPr>
        <w:tabs>
          <w:tab w:leader="none" w:pos="993" w:val="left"/>
        </w:tabs>
        <w:spacing w:before="0" w:line="276" w:lineRule="auto"/>
        <w:ind w:firstLine="709" w:left="0"/>
        <w:jc w:val="both"/>
        <w:rPr>
          <w:sz w:val="26"/>
        </w:rPr>
      </w:pPr>
      <w:r>
        <w:rPr>
          <w:sz w:val="26"/>
        </w:rPr>
        <w:t>2</w:t>
      </w:r>
      <w:r>
        <w:rPr>
          <w:sz w:val="26"/>
        </w:rPr>
        <w:t xml:space="preserve">. </w:t>
      </w:r>
      <w:r>
        <w:rPr>
          <w:color w:val="000000"/>
          <w:sz w:val="26"/>
        </w:rPr>
        <w:t xml:space="preserve">Согласно доводу </w:t>
      </w:r>
      <w:r>
        <w:rPr>
          <w:color w:val="000000"/>
          <w:sz w:val="26"/>
        </w:rPr>
        <w:t xml:space="preserve">обращения </w:t>
      </w:r>
      <w:r>
        <w:rPr>
          <w:color w:val="000000"/>
          <w:sz w:val="26"/>
        </w:rPr>
        <w:t xml:space="preserve">Заявителя, Заказчиком </w:t>
      </w:r>
      <w:r>
        <w:rPr>
          <w:color w:val="000000"/>
          <w:sz w:val="26"/>
        </w:rPr>
        <w:t>необоснованно объединены в один объект закупки работы по поставке</w:t>
      </w:r>
      <w:r>
        <w:rPr>
          <w:color w:val="000000"/>
          <w:sz w:val="26"/>
        </w:rPr>
        <w:t xml:space="preserve"> и использованию</w:t>
      </w:r>
      <w:r>
        <w:rPr>
          <w:color w:val="000000"/>
          <w:sz w:val="26"/>
        </w:rPr>
        <w:t xml:space="preserve"> 3 программных обеспечений разной модальности</w:t>
      </w:r>
      <w:r>
        <w:rPr>
          <w:sz w:val="26"/>
        </w:rPr>
        <w:t>.</w:t>
      </w:r>
    </w:p>
    <w:p w14:paraId="37000000">
      <w:pPr>
        <w:spacing w:before="0" w:line="276" w:lineRule="auto"/>
        <w:ind w:firstLine="709" w:left="0"/>
        <w:jc w:val="both"/>
        <w:rPr>
          <w:sz w:val="26"/>
        </w:rPr>
      </w:pPr>
      <w:r>
        <w:rPr>
          <w:sz w:val="26"/>
        </w:rPr>
        <w:t xml:space="preserve">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w:t>
      </w:r>
      <w:r>
        <w:rPr>
          <w:sz w:val="26"/>
        </w:rPr>
        <w:t xml:space="preserve">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w:t>
      </w:r>
    </w:p>
    <w:p w14:paraId="38000000">
      <w:pPr>
        <w:spacing w:before="0" w:line="276" w:lineRule="auto"/>
        <w:ind w:firstLine="709" w:left="0"/>
        <w:jc w:val="both"/>
        <w:rPr>
          <w:sz w:val="26"/>
        </w:rPr>
      </w:pPr>
      <w:r>
        <w:rPr>
          <w:sz w:val="26"/>
        </w:rP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14:paraId="39000000">
      <w:pPr>
        <w:spacing w:before="0" w:line="276" w:lineRule="auto"/>
        <w:ind w:firstLine="709" w:left="0"/>
        <w:jc w:val="both"/>
        <w:rPr>
          <w:sz w:val="26"/>
        </w:rPr>
      </w:pPr>
      <w:r>
        <w:rPr>
          <w:sz w:val="26"/>
        </w:rP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14:paraId="3A000000">
      <w:pPr>
        <w:spacing w:before="0" w:line="276" w:lineRule="auto"/>
        <w:ind w:firstLine="709" w:left="0"/>
        <w:jc w:val="both"/>
        <w:rPr>
          <w:sz w:val="26"/>
        </w:rPr>
      </w:pPr>
      <w:r>
        <w:rPr>
          <w:sz w:val="26"/>
        </w:rPr>
        <w:t>Согласно извещению о проведении Аукциона объектом закупки является о</w:t>
      </w:r>
      <w:r>
        <w:rPr>
          <w:sz w:val="26"/>
        </w:rPr>
        <w:t>казание услуг автоматизированного анализа и разметки на основе искусственного интеллекта инструментальных исследований при работе в государственной информационной системе «Единая медицинская информационно-аналитическая система Московской области»</w:t>
      </w:r>
      <w:r>
        <w:rPr>
          <w:sz w:val="26"/>
        </w:rPr>
        <w:t>.</w:t>
      </w:r>
      <w:r>
        <w:rPr>
          <w:sz w:val="26"/>
        </w:rPr>
        <w:t xml:space="preserve"> </w:t>
      </w:r>
    </w:p>
    <w:p w14:paraId="3B000000">
      <w:pPr>
        <w:spacing w:before="0" w:line="276" w:lineRule="auto"/>
        <w:ind w:firstLine="709" w:left="0"/>
        <w:jc w:val="both"/>
        <w:rPr>
          <w:sz w:val="26"/>
        </w:rPr>
      </w:pPr>
      <w:r>
        <w:rPr>
          <w:sz w:val="26"/>
        </w:rPr>
        <w:t>В</w:t>
      </w:r>
      <w:r>
        <w:rPr>
          <w:sz w:val="26"/>
        </w:rPr>
        <w:t xml:space="preserve"> Техническом</w:t>
      </w:r>
      <w:r>
        <w:rPr>
          <w:sz w:val="26"/>
        </w:rPr>
        <w:t xml:space="preserve"> </w:t>
      </w:r>
      <w:r>
        <w:rPr>
          <w:sz w:val="26"/>
        </w:rPr>
        <w:t xml:space="preserve">задании Заказчиком </w:t>
      </w:r>
      <w:r>
        <w:rPr>
          <w:sz w:val="26"/>
        </w:rPr>
        <w:t>установлены следующие виды оказываемых услуг</w:t>
      </w:r>
      <w:r>
        <w:rPr>
          <w:sz w:val="26"/>
        </w:rPr>
        <w:t>:</w:t>
      </w:r>
      <w:r>
        <w:rPr>
          <w:sz w:val="26"/>
        </w:rPr>
        <w:t xml:space="preserve"> </w:t>
      </w:r>
    </w:p>
    <w:p w14:paraId="3C000000">
      <w:pPr>
        <w:spacing w:before="0" w:line="276" w:lineRule="auto"/>
        <w:ind w:firstLine="709" w:left="0"/>
        <w:jc w:val="both"/>
        <w:rPr>
          <w:sz w:val="26"/>
        </w:rPr>
      </w:pPr>
      <w:r>
        <w:rPr>
          <w:sz w:val="26"/>
        </w:rPr>
        <w:t xml:space="preserve">1. </w:t>
      </w:r>
      <w:r>
        <w:rPr>
          <w:sz w:val="26"/>
        </w:rPr>
        <w:t>Услуги по предоставлению лицензий на право использовать компьютерное программное обеспечение</w:t>
      </w:r>
      <w:r>
        <w:rPr>
          <w:sz w:val="26"/>
        </w:rPr>
        <w:t xml:space="preserve">; </w:t>
      </w:r>
    </w:p>
    <w:p w14:paraId="3D000000">
      <w:pPr>
        <w:spacing w:before="0" w:line="276" w:lineRule="auto"/>
        <w:ind w:firstLine="709" w:left="0"/>
        <w:jc w:val="both"/>
        <w:rPr>
          <w:sz w:val="26"/>
        </w:rPr>
      </w:pPr>
      <w:r>
        <w:rPr>
          <w:sz w:val="26"/>
        </w:rPr>
        <w:t xml:space="preserve">2. </w:t>
      </w:r>
      <w:r>
        <w:rPr>
          <w:sz w:val="26"/>
        </w:rPr>
        <w:t xml:space="preserve">Услуги по предоставлению прав использования программного обеспечения с заключением лицензионного или </w:t>
      </w:r>
      <w:r>
        <w:rPr>
          <w:sz w:val="26"/>
        </w:rPr>
        <w:t>сублицензионного</w:t>
      </w:r>
      <w:r>
        <w:rPr>
          <w:sz w:val="26"/>
        </w:rPr>
        <w:t xml:space="preserve"> договора</w:t>
      </w:r>
      <w:r>
        <w:rPr>
          <w:sz w:val="26"/>
        </w:rPr>
        <w:t xml:space="preserve">; </w:t>
      </w:r>
    </w:p>
    <w:p w14:paraId="3E000000">
      <w:pPr>
        <w:spacing w:before="0" w:line="276" w:lineRule="auto"/>
        <w:ind w:firstLine="709" w:left="0"/>
        <w:jc w:val="both"/>
        <w:rPr>
          <w:sz w:val="26"/>
        </w:rPr>
      </w:pPr>
      <w:r>
        <w:rPr>
          <w:sz w:val="26"/>
        </w:rPr>
        <w:t xml:space="preserve">3. </w:t>
      </w:r>
      <w:r>
        <w:rPr>
          <w:sz w:val="26"/>
        </w:rPr>
        <w:t>Услуги по предоставлению лицензий на право использовать компьютерное программное обеспечение</w:t>
      </w:r>
      <w:r>
        <w:rPr>
          <w:sz w:val="26"/>
        </w:rPr>
        <w:t>.</w:t>
      </w:r>
    </w:p>
    <w:p w14:paraId="3F000000">
      <w:pPr>
        <w:spacing w:before="0" w:line="276" w:lineRule="auto"/>
        <w:ind w:firstLine="709" w:left="0"/>
        <w:jc w:val="both"/>
        <w:rPr>
          <w:sz w:val="26"/>
        </w:rPr>
      </w:pPr>
      <w:r>
        <w:rPr>
          <w:sz w:val="26"/>
        </w:rPr>
        <w:t>На заседании Комиссии представитель Заказчика представил письменные пояснения, согласно которым</w:t>
      </w:r>
      <w:r>
        <w:rPr>
          <w:sz w:val="26"/>
        </w:rPr>
        <w:t xml:space="preserve">: </w:t>
      </w:r>
    </w:p>
    <w:p w14:paraId="40000000">
      <w:pPr>
        <w:spacing w:before="0" w:line="276" w:lineRule="auto"/>
        <w:ind w:firstLine="709" w:left="0"/>
        <w:jc w:val="both"/>
        <w:rPr>
          <w:sz w:val="26"/>
        </w:rPr>
      </w:pPr>
      <w:r>
        <w:rPr>
          <w:sz w:val="26"/>
        </w:rPr>
        <w:t>«</w:t>
      </w:r>
      <w:r>
        <w:rPr>
          <w:sz w:val="26"/>
        </w:rPr>
        <w:t>В соответствии с п. 4.2. Технических требований (Приложение 5 к Контракту) к обязанностям Исполнителя относится обеспечение работоспособности модулей анализа и разметки. Модули должны иметь регистрационное удостоверение как медицинское изделие в части функциональности, подпадающей под требования регистрации.</w:t>
      </w:r>
    </w:p>
    <w:p w14:paraId="41000000">
      <w:pPr>
        <w:spacing w:before="0" w:line="276" w:lineRule="auto"/>
        <w:ind w:firstLine="709" w:left="0"/>
        <w:jc w:val="both"/>
        <w:rPr>
          <w:sz w:val="26"/>
        </w:rPr>
      </w:pPr>
      <w:r>
        <w:rPr>
          <w:sz w:val="26"/>
        </w:rPr>
        <w:t xml:space="preserve">В состав услуг, обеспечивающих работоспособность модулей анализа и разметки входит: </w:t>
      </w:r>
    </w:p>
    <w:p w14:paraId="42000000">
      <w:pPr>
        <w:spacing w:before="0" w:line="276" w:lineRule="auto"/>
        <w:ind w:firstLine="709" w:left="0"/>
        <w:jc w:val="both"/>
        <w:rPr>
          <w:sz w:val="26"/>
        </w:rPr>
      </w:pPr>
      <w:r>
        <w:rPr>
          <w:sz w:val="26"/>
        </w:rPr>
        <w:t xml:space="preserve">-    </w:t>
      </w:r>
      <w:r>
        <w:rPr>
          <w:sz w:val="26"/>
        </w:rPr>
        <w:tab/>
      </w:r>
      <w:r>
        <w:rPr>
          <w:sz w:val="26"/>
        </w:rPr>
        <w:t>разработка технического задания;</w:t>
      </w:r>
    </w:p>
    <w:p w14:paraId="43000000">
      <w:pPr>
        <w:spacing w:before="0" w:line="276" w:lineRule="auto"/>
        <w:ind w:firstLine="709" w:left="0"/>
        <w:jc w:val="both"/>
        <w:rPr>
          <w:sz w:val="26"/>
        </w:rPr>
      </w:pPr>
      <w:r>
        <w:rPr>
          <w:sz w:val="26"/>
        </w:rPr>
        <w:t>-</w:t>
      </w:r>
      <w:r>
        <w:rPr>
          <w:sz w:val="26"/>
        </w:rPr>
        <w:tab/>
      </w:r>
      <w:r>
        <w:rPr>
          <w:sz w:val="26"/>
        </w:rPr>
        <w:t>настройка организации работы модулей, подготовка к опытной эксплуатации;</w:t>
      </w:r>
    </w:p>
    <w:p w14:paraId="44000000">
      <w:pPr>
        <w:spacing w:before="0" w:line="276" w:lineRule="auto"/>
        <w:ind w:firstLine="709" w:left="0"/>
        <w:jc w:val="both"/>
        <w:rPr>
          <w:sz w:val="26"/>
        </w:rPr>
      </w:pPr>
      <w:r>
        <w:rPr>
          <w:sz w:val="26"/>
        </w:rPr>
        <w:t>-</w:t>
      </w:r>
      <w:r>
        <w:rPr>
          <w:sz w:val="26"/>
        </w:rPr>
        <w:tab/>
      </w:r>
      <w:r>
        <w:rPr>
          <w:sz w:val="26"/>
        </w:rPr>
        <w:t>проведение опытной эксплуатации, подготовка к постоянной эксплуатации.</w:t>
      </w:r>
    </w:p>
    <w:p w14:paraId="45000000">
      <w:pPr>
        <w:spacing w:before="0" w:line="276" w:lineRule="auto"/>
        <w:ind w:firstLine="709" w:left="0"/>
        <w:jc w:val="both"/>
        <w:rPr>
          <w:sz w:val="26"/>
        </w:rPr>
      </w:pPr>
      <w:r>
        <w:rPr>
          <w:sz w:val="26"/>
        </w:rPr>
        <w:t xml:space="preserve">Таким образом, выбор конкретного кода ОКПД2 (62.02.30.000) основан на оценке подлежащих описанию требуемых услуг. И выбирается заказчиком </w:t>
      </w:r>
      <w:r>
        <w:rPr>
          <w:sz w:val="26"/>
        </w:rPr>
        <w:t>самостоятельно путем соотнесения предмета закупки к соответствующему коду и наименованию позиции ОКПД2, с учетом специфики закупки в области применения.</w:t>
      </w:r>
    </w:p>
    <w:p w14:paraId="46000000">
      <w:pPr>
        <w:spacing w:before="0" w:line="276" w:lineRule="auto"/>
        <w:ind w:firstLine="709" w:left="0"/>
        <w:jc w:val="both"/>
        <w:rPr>
          <w:sz w:val="26"/>
        </w:rPr>
      </w:pPr>
      <w:r>
        <w:rPr>
          <w:sz w:val="26"/>
        </w:rPr>
        <w:t>Учитывая, что в рамках оказания услуг использования модулей «Автоматизированного анализа и разметки на основе искусственного интеллекта обработки результатов работы ИИ при анализе инструментальных исследований при работе в государственной информационной системе «Единая медицинская информационно-аналитическая система Московской области» должна быть обеспечена совместимость модулей ИИ с используемым в регионе ПО Подсистемы ЕРИС ЕМИАС МО, то Заказчиком объединены в одном лоте технологически и функционально связанные услуги - по техническому сопровождению государственной информационной системы.</w:t>
      </w:r>
      <w:r>
        <w:rPr>
          <w:sz w:val="26"/>
        </w:rPr>
        <w:t xml:space="preserve">». </w:t>
      </w:r>
    </w:p>
    <w:p w14:paraId="47000000">
      <w:pPr>
        <w:widowControl w:val="1"/>
        <w:tabs>
          <w:tab w:leader="none" w:pos="993" w:val="left"/>
        </w:tabs>
        <w:spacing w:before="0" w:line="264" w:lineRule="auto"/>
        <w:ind w:firstLine="709" w:left="0"/>
        <w:jc w:val="both"/>
        <w:rPr>
          <w:sz w:val="26"/>
        </w:rPr>
      </w:pPr>
      <w:r>
        <w:rPr>
          <w:sz w:val="26"/>
        </w:rPr>
        <w:t xml:space="preserve">Изучив документы и сведения, Комиссия приходит к выводу, что действия Заказчика в части </w:t>
      </w:r>
      <w:r>
        <w:rPr>
          <w:sz w:val="26"/>
        </w:rPr>
        <w:t xml:space="preserve">формирование лота и установлению требование об использовании различных модулей не противоречат </w:t>
      </w:r>
      <w:r>
        <w:rPr>
          <w:sz w:val="26"/>
        </w:rPr>
        <w:t>требованиям Закона о контрактной системе.</w:t>
      </w:r>
    </w:p>
    <w:p w14:paraId="48000000">
      <w:pPr>
        <w:tabs>
          <w:tab w:leader="none" w:pos="993" w:val="left"/>
        </w:tabs>
        <w:spacing w:before="0" w:line="276" w:lineRule="auto"/>
        <w:ind w:firstLine="709" w:left="0"/>
        <w:jc w:val="both"/>
        <w:rPr>
          <w:sz w:val="26"/>
        </w:rPr>
      </w:pPr>
      <w:r>
        <w:rPr>
          <w:sz w:val="26"/>
        </w:rPr>
        <w:t xml:space="preserve">Следовательно, довод </w:t>
      </w:r>
      <w:r>
        <w:rPr>
          <w:sz w:val="26"/>
        </w:rPr>
        <w:t xml:space="preserve">обращения </w:t>
      </w:r>
      <w:r>
        <w:rPr>
          <w:sz w:val="26"/>
        </w:rPr>
        <w:t xml:space="preserve">Заявителя </w:t>
      </w:r>
      <w:r>
        <w:rPr>
          <w:sz w:val="26"/>
        </w:rPr>
        <w:t xml:space="preserve">не </w:t>
      </w:r>
      <w:r>
        <w:rPr>
          <w:sz w:val="26"/>
        </w:rPr>
        <w:t xml:space="preserve">нашел </w:t>
      </w:r>
      <w:r>
        <w:rPr>
          <w:sz w:val="26"/>
        </w:rPr>
        <w:t>своего подтверждения</w:t>
      </w:r>
      <w:r>
        <w:rPr>
          <w:sz w:val="26"/>
        </w:rPr>
        <w:t>.</w:t>
      </w:r>
    </w:p>
    <w:p w14:paraId="49000000">
      <w:pPr>
        <w:tabs>
          <w:tab w:leader="none" w:pos="993" w:val="left"/>
        </w:tabs>
        <w:spacing w:before="0" w:line="276" w:lineRule="auto"/>
        <w:ind w:firstLine="709" w:left="0"/>
        <w:jc w:val="both"/>
        <w:rPr>
          <w:sz w:val="26"/>
        </w:rPr>
      </w:pPr>
      <w:r>
        <w:rPr>
          <w:sz w:val="26"/>
        </w:rPr>
        <w:t xml:space="preserve">3. </w:t>
      </w:r>
      <w:r>
        <w:rPr>
          <w:sz w:val="26"/>
        </w:rP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14:paraId="4A000000">
      <w:pPr>
        <w:tabs>
          <w:tab w:leader="none" w:pos="993" w:val="left"/>
        </w:tabs>
        <w:spacing w:before="0" w:line="276" w:lineRule="auto"/>
        <w:ind w:firstLine="709" w:left="0"/>
        <w:jc w:val="both"/>
        <w:rPr>
          <w:sz w:val="26"/>
        </w:rPr>
      </w:pPr>
      <w:r>
        <w:rPr>
          <w:sz w:val="26"/>
        </w:rP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14:paraId="4B000000">
      <w:pPr>
        <w:tabs>
          <w:tab w:leader="none" w:pos="993" w:val="left"/>
        </w:tabs>
        <w:spacing w:before="0" w:line="276" w:lineRule="auto"/>
        <w:ind w:firstLine="709" w:left="0"/>
        <w:jc w:val="both"/>
        <w:rPr>
          <w:sz w:val="26"/>
        </w:rPr>
      </w:pPr>
      <w:r>
        <w:rPr>
          <w:sz w:val="26"/>
        </w:rPr>
        <w:t>Согласно пункту 3 части 2 статьи 42 Закона о контрактной системе, извещение об осуществлении закупки должно содержать требования к содержанию, составу заявки на участие в закупке в соответствии с настоящим Федеральным законом и инструкция по ее заполнению.</w:t>
      </w:r>
    </w:p>
    <w:p w14:paraId="4C000000">
      <w:pPr>
        <w:tabs>
          <w:tab w:leader="none" w:pos="993" w:val="left"/>
        </w:tabs>
        <w:spacing w:before="0" w:line="276" w:lineRule="auto"/>
        <w:ind w:firstLine="709" w:left="0"/>
        <w:jc w:val="both"/>
        <w:rPr>
          <w:sz w:val="26"/>
        </w:rPr>
      </w:pPr>
      <w:r>
        <w:rPr>
          <w:sz w:val="26"/>
        </w:rPr>
        <w:t>Согласно пункту 2 Постановления Правительства РФ от 27.12.2012 № 1416 «Об утверждении Правил государственной регистрации медицинских изделий» государственной регистрации подлежат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(изготовителем)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(далее - медицинские изделия).</w:t>
      </w:r>
    </w:p>
    <w:p w14:paraId="4D000000">
      <w:pPr>
        <w:tabs>
          <w:tab w:leader="none" w:pos="993" w:val="left"/>
        </w:tabs>
        <w:spacing w:before="0" w:line="276" w:lineRule="auto"/>
        <w:ind w:firstLine="709" w:left="0"/>
        <w:jc w:val="both"/>
        <w:rPr>
          <w:sz w:val="26"/>
        </w:rPr>
      </w:pPr>
      <w:r>
        <w:rPr>
          <w:sz w:val="26"/>
        </w:rPr>
        <w:t>На засед</w:t>
      </w:r>
      <w:r>
        <w:rPr>
          <w:sz w:val="26"/>
        </w:rPr>
        <w:t>ании Комиссии</w:t>
      </w:r>
      <w:r>
        <w:rPr>
          <w:sz w:val="26"/>
        </w:rPr>
        <w:t xml:space="preserve"> </w:t>
      </w:r>
      <w:r>
        <w:rPr>
          <w:sz w:val="26"/>
        </w:rPr>
        <w:t>установлено</w:t>
      </w:r>
      <w:r>
        <w:rPr>
          <w:sz w:val="26"/>
        </w:rPr>
        <w:t xml:space="preserve">, что Заказчиком в Требованиях к </w:t>
      </w:r>
      <w:r>
        <w:rPr>
          <w:sz w:val="26"/>
        </w:rPr>
        <w:t>содержанию</w:t>
      </w:r>
      <w:r>
        <w:rPr>
          <w:sz w:val="26"/>
        </w:rPr>
        <w:t>, составу заявки установлено, в том числе следующее:</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98"/>
        <w:gridCol w:w="4522"/>
        <w:gridCol w:w="4522"/>
      </w:tblGrid>
      <w:tr>
        <w:trPr>
          <w:trHeight w:hRule="atLeast" w:val="3720"/>
        </w:trPr>
        <w:tc>
          <w:tcPr>
            <w:tcW w:type="dxa" w:w="498"/>
            <w:tcBorders>
              <w:top w:color="000000" w:sz="4" w:val="single"/>
              <w:left w:color="000000" w:sz="4" w:val="single"/>
              <w:bottom w:color="000000" w:sz="4" w:val="single"/>
              <w:right w:color="000000" w:sz="4" w:val="single"/>
            </w:tcBorders>
          </w:tcPr>
          <w:p w14:paraId="4E000000">
            <w:pPr>
              <w:spacing w:before="0"/>
              <w:ind w:firstLine="0" w:left="0"/>
              <w:jc w:val="center"/>
              <w:rPr>
                <w:color w:val="000000"/>
                <w:sz w:val="24"/>
              </w:rPr>
            </w:pPr>
          </w:p>
        </w:tc>
        <w:tc>
          <w:tcPr>
            <w:tcW w:type="dxa" w:w="4522"/>
            <w:tcBorders>
              <w:top w:color="000000" w:sz="4" w:val="single"/>
              <w:left w:color="000000" w:sz="4" w:val="single"/>
              <w:bottom w:color="000000" w:sz="4" w:val="single"/>
              <w:right w:color="000000" w:sz="4" w:val="single"/>
            </w:tcBorders>
          </w:tcPr>
          <w:p w14:paraId="4F000000">
            <w:pPr>
              <w:widowControl w:val="1"/>
              <w:spacing w:before="0"/>
              <w:ind w:firstLine="0" w:left="0"/>
              <w:jc w:val="both"/>
              <w:rPr>
                <w:color w:val="000000"/>
                <w:sz w:val="24"/>
              </w:rPr>
            </w:pPr>
            <w:r>
              <w:rPr>
                <w:b w:val="1"/>
                <w:color w:val="000000"/>
                <w:sz w:val="24"/>
              </w:rPr>
              <w:t xml:space="preserve">в) </w:t>
            </w:r>
            <w:r>
              <w:rPr>
                <w:color w:val="000000"/>
                <w:sz w:val="24"/>
              </w:rPr>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 </w:t>
            </w:r>
          </w:p>
        </w:tc>
        <w:tc>
          <w:tcPr>
            <w:tcW w:type="dxa" w:w="4522"/>
            <w:tcBorders>
              <w:top w:color="000000" w:sz="4" w:val="single"/>
              <w:left w:color="000000" w:sz="4" w:val="single"/>
              <w:bottom w:color="000000" w:sz="4" w:val="single"/>
              <w:right w:color="000000" w:sz="4" w:val="single"/>
            </w:tcBorders>
          </w:tcPr>
          <w:p w14:paraId="50000000">
            <w:pPr>
              <w:spacing w:before="0"/>
              <w:ind w:firstLine="0" w:left="0"/>
              <w:jc w:val="both"/>
              <w:rPr>
                <w:i w:val="1"/>
                <w:color w:val="000000"/>
                <w:sz w:val="24"/>
              </w:rPr>
            </w:pPr>
            <w:r>
              <w:rPr>
                <w:i w:val="1"/>
                <w:color w:val="000000"/>
                <w:sz w:val="24"/>
              </w:rPr>
              <w:t>- Копия регистрационного удостоверения Федеральной Службы по надзору в сфере здравоохранения и социального развития (Министерства здравоохранения Российской Федерации, Министерства здравоохранения и социального развития Российской Федерации). (Основание: Постановление Правительства РФ от 27.12.2012 № 1416 «Об утверждении Правил государственной регистрации медицинских изделий»).</w:t>
            </w:r>
          </w:p>
          <w:p w14:paraId="51000000">
            <w:pPr>
              <w:widowControl w:val="1"/>
              <w:spacing w:before="0"/>
              <w:ind w:firstLine="0" w:left="0"/>
              <w:jc w:val="both"/>
              <w:rPr>
                <w:color w:val="000000"/>
                <w:sz w:val="24"/>
              </w:rPr>
            </w:pPr>
          </w:p>
        </w:tc>
      </w:tr>
    </w:tbl>
    <w:p w14:paraId="52000000">
      <w:pPr>
        <w:tabs>
          <w:tab w:leader="none" w:pos="993" w:val="left"/>
        </w:tabs>
        <w:spacing w:before="0" w:line="276" w:lineRule="auto"/>
        <w:ind w:firstLine="709" w:left="0"/>
        <w:jc w:val="both"/>
        <w:rPr>
          <w:sz w:val="26"/>
        </w:rPr>
      </w:pPr>
      <w:r>
        <w:rPr>
          <w:sz w:val="26"/>
        </w:rPr>
        <w:t>Вместе с тем, согл</w:t>
      </w:r>
      <w:r>
        <w:rPr>
          <w:sz w:val="26"/>
        </w:rPr>
        <w:t>асно</w:t>
      </w:r>
      <w:r>
        <w:rPr>
          <w:sz w:val="26"/>
        </w:rPr>
        <w:t xml:space="preserve"> извещ</w:t>
      </w:r>
      <w:r>
        <w:rPr>
          <w:sz w:val="26"/>
        </w:rPr>
        <w:t>ению</w:t>
      </w:r>
      <w:r>
        <w:rPr>
          <w:sz w:val="26"/>
        </w:rPr>
        <w:t xml:space="preserve"> о пров</w:t>
      </w:r>
      <w:r>
        <w:rPr>
          <w:sz w:val="26"/>
        </w:rPr>
        <w:t>едении А</w:t>
      </w:r>
      <w:r>
        <w:rPr>
          <w:sz w:val="26"/>
        </w:rPr>
        <w:t>укциона объектом закупки является</w:t>
      </w:r>
      <w:r>
        <w:rPr>
          <w:sz w:val="26"/>
        </w:rPr>
        <w:t xml:space="preserve"> о</w:t>
      </w:r>
      <w:r>
        <w:rPr>
          <w:sz w:val="26"/>
        </w:rPr>
        <w:t>казание услуг автоматизированного анализа и разметки на основе искусственного интеллекта инструментальных исследований при работе в государственной информационной системе «Единая медицинская информационно-аналитическая система Московской области»</w:t>
      </w:r>
      <w:r>
        <w:rPr>
          <w:sz w:val="26"/>
        </w:rPr>
        <w:t>.</w:t>
      </w:r>
    </w:p>
    <w:p w14:paraId="53000000">
      <w:pPr>
        <w:tabs>
          <w:tab w:leader="none" w:pos="993" w:val="left"/>
        </w:tabs>
        <w:spacing w:before="0" w:line="276" w:lineRule="auto"/>
        <w:ind w:firstLine="709" w:left="0"/>
        <w:jc w:val="both"/>
        <w:rPr>
          <w:sz w:val="26"/>
        </w:rPr>
      </w:pPr>
      <w:r>
        <w:rPr>
          <w:sz w:val="26"/>
        </w:rPr>
        <w:t>Изучив докум</w:t>
      </w:r>
      <w:r>
        <w:rPr>
          <w:sz w:val="26"/>
        </w:rPr>
        <w:t>енты и сведения</w:t>
      </w:r>
      <w:r>
        <w:rPr>
          <w:sz w:val="26"/>
        </w:rPr>
        <w:t>, К</w:t>
      </w:r>
      <w:r>
        <w:rPr>
          <w:sz w:val="26"/>
        </w:rPr>
        <w:t>омиссия</w:t>
      </w:r>
      <w:r>
        <w:rPr>
          <w:sz w:val="26"/>
        </w:rPr>
        <w:t xml:space="preserve"> приходит к выводу, что </w:t>
      </w:r>
      <w:r>
        <w:rPr>
          <w:sz w:val="26"/>
        </w:rPr>
        <w:t>действи</w:t>
      </w:r>
      <w:r>
        <w:rPr>
          <w:sz w:val="26"/>
        </w:rPr>
        <w:t>я</w:t>
      </w:r>
      <w:r>
        <w:rPr>
          <w:sz w:val="26"/>
        </w:rPr>
        <w:t xml:space="preserve"> Заказчика</w:t>
      </w:r>
      <w:r>
        <w:rPr>
          <w:sz w:val="26"/>
        </w:rPr>
        <w:t xml:space="preserve"> в части </w:t>
      </w:r>
      <w:r>
        <w:rPr>
          <w:sz w:val="26"/>
        </w:rPr>
        <w:t>установления</w:t>
      </w:r>
      <w:r>
        <w:rPr>
          <w:sz w:val="26"/>
        </w:rPr>
        <w:t xml:space="preserve"> требования о предоставлении Регистрационного удостовер</w:t>
      </w:r>
      <w:r>
        <w:rPr>
          <w:sz w:val="26"/>
        </w:rPr>
        <w:t>ения</w:t>
      </w:r>
      <w:r>
        <w:rPr>
          <w:sz w:val="26"/>
        </w:rPr>
        <w:t xml:space="preserve"> по надзору в сфере здравоохранения и социального развития противоречит требов</w:t>
      </w:r>
      <w:r>
        <w:rPr>
          <w:sz w:val="26"/>
        </w:rPr>
        <w:t>аниям</w:t>
      </w:r>
      <w:r>
        <w:rPr>
          <w:sz w:val="26"/>
        </w:rPr>
        <w:t xml:space="preserve"> Закона о контр</w:t>
      </w:r>
      <w:r>
        <w:rPr>
          <w:sz w:val="26"/>
        </w:rPr>
        <w:t>актной</w:t>
      </w:r>
      <w:r>
        <w:rPr>
          <w:sz w:val="26"/>
        </w:rPr>
        <w:t xml:space="preserve"> </w:t>
      </w:r>
      <w:r>
        <w:rPr>
          <w:sz w:val="26"/>
        </w:rPr>
        <w:t>системе</w:t>
      </w:r>
      <w:r>
        <w:rPr>
          <w:sz w:val="26"/>
        </w:rPr>
        <w:t>.</w:t>
      </w:r>
    </w:p>
    <w:p w14:paraId="54000000">
      <w:pPr>
        <w:tabs>
          <w:tab w:leader="none" w:pos="993" w:val="left"/>
        </w:tabs>
        <w:spacing w:before="0" w:line="276" w:lineRule="auto"/>
        <w:ind w:firstLine="709" w:left="0"/>
        <w:jc w:val="both"/>
        <w:rPr>
          <w:sz w:val="26"/>
        </w:rPr>
      </w:pPr>
      <w:r>
        <w:rPr>
          <w:sz w:val="26"/>
        </w:rPr>
        <w:t>П</w:t>
      </w:r>
      <w:r>
        <w:rPr>
          <w:sz w:val="26"/>
        </w:rPr>
        <w:t>ри этом на заседании К</w:t>
      </w:r>
      <w:r>
        <w:rPr>
          <w:sz w:val="26"/>
        </w:rPr>
        <w:t xml:space="preserve">омиссии </w:t>
      </w:r>
      <w:r>
        <w:rPr>
          <w:sz w:val="26"/>
        </w:rPr>
        <w:t>установлено</w:t>
      </w:r>
      <w:r>
        <w:rPr>
          <w:sz w:val="26"/>
        </w:rPr>
        <w:t xml:space="preserve">, что Заказчиком заключен </w:t>
      </w:r>
      <w:r>
        <w:rPr>
          <w:sz w:val="26"/>
        </w:rPr>
        <w:t>К</w:t>
      </w:r>
      <w:r>
        <w:rPr>
          <w:sz w:val="26"/>
        </w:rPr>
        <w:t>онтракт</w:t>
      </w:r>
      <w:r>
        <w:rPr>
          <w:sz w:val="26"/>
        </w:rPr>
        <w:t xml:space="preserve"> № </w:t>
      </w:r>
      <w:r>
        <w:rPr>
          <w:sz w:val="26"/>
        </w:rPr>
        <w:t>0348200081023002027</w:t>
      </w:r>
      <w:r>
        <w:rPr>
          <w:sz w:val="26"/>
        </w:rPr>
        <w:t xml:space="preserve"> от 18.08.2023.</w:t>
      </w:r>
    </w:p>
    <w:p w14:paraId="55000000">
      <w:pPr>
        <w:tabs>
          <w:tab w:leader="none" w:pos="993" w:val="left"/>
        </w:tabs>
        <w:spacing w:before="0" w:line="276" w:lineRule="auto"/>
        <w:ind w:firstLine="709" w:left="0"/>
        <w:jc w:val="both"/>
        <w:rPr>
          <w:sz w:val="26"/>
        </w:rPr>
      </w:pPr>
      <w:r>
        <w:rPr>
          <w:sz w:val="26"/>
        </w:rPr>
        <w:t xml:space="preserve">На </w:t>
      </w:r>
      <w:r>
        <w:rPr>
          <w:sz w:val="26"/>
        </w:rPr>
        <w:t>основании</w:t>
      </w:r>
      <w:r>
        <w:rPr>
          <w:sz w:val="26"/>
        </w:rPr>
        <w:t xml:space="preserve"> изложенного Комиссия приходит к выводу, что действия Заказчика нарушают пункт 3 части 2 статьи 42 Закона о контрактной системе, что содержит признаки состава административного правонарушения, предусмотренного частью 1.4 статьи 7.30 Кодекса Российской Федерации об административных правонарушениях</w:t>
      </w:r>
    </w:p>
    <w:p w14:paraId="56000000">
      <w:pPr>
        <w:spacing w:before="0" w:line="276" w:lineRule="auto"/>
        <w:ind w:firstLine="709" w:left="0"/>
        <w:jc w:val="both"/>
        <w:rPr>
          <w:color w:val="000000"/>
          <w:sz w:val="26"/>
        </w:rPr>
      </w:pPr>
      <w:r>
        <w:rPr>
          <w:color w:val="000000"/>
          <w:sz w:val="26"/>
        </w:rPr>
        <w:t xml:space="preserve">На </w:t>
      </w:r>
      <w:r>
        <w:rPr>
          <w:color w:val="000000"/>
          <w:sz w:val="26"/>
        </w:rPr>
        <w:t>основании</w:t>
      </w:r>
      <w:r>
        <w:rPr>
          <w:color w:val="000000"/>
          <w:sz w:val="26"/>
        </w:rPr>
        <w:t xml:space="preserve">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14:paraId="57000000">
      <w:pPr>
        <w:spacing w:before="0" w:line="276" w:lineRule="auto"/>
        <w:ind w:firstLine="709" w:left="0"/>
        <w:jc w:val="both"/>
        <w:rPr>
          <w:color w:val="000000"/>
          <w:sz w:val="26"/>
        </w:rPr>
      </w:pPr>
    </w:p>
    <w:p w14:paraId="58000000">
      <w:pPr>
        <w:spacing w:before="0" w:line="276" w:lineRule="auto"/>
        <w:ind w:firstLine="709" w:left="0"/>
        <w:jc w:val="center"/>
        <w:rPr>
          <w:b w:val="1"/>
          <w:sz w:val="26"/>
        </w:rPr>
      </w:pPr>
      <w:r>
        <w:rPr>
          <w:b w:val="1"/>
          <w:sz w:val="26"/>
        </w:rPr>
        <w:t>РЕШИЛА:</w:t>
      </w:r>
    </w:p>
    <w:p w14:paraId="59000000">
      <w:pPr>
        <w:spacing w:before="0" w:line="276" w:lineRule="auto"/>
        <w:ind w:firstLine="709" w:left="0"/>
        <w:jc w:val="center"/>
        <w:rPr>
          <w:b w:val="1"/>
          <w:sz w:val="26"/>
        </w:rPr>
      </w:pPr>
    </w:p>
    <w:p w14:paraId="5A000000">
      <w:pPr>
        <w:tabs>
          <w:tab w:leader="none" w:pos="851" w:val="left"/>
          <w:tab w:leader="none" w:pos="993" w:val="left"/>
          <w:tab w:leader="none" w:pos="1134" w:val="left"/>
        </w:tabs>
        <w:spacing w:before="0" w:line="276" w:lineRule="auto"/>
        <w:ind w:firstLine="851" w:left="0"/>
        <w:jc w:val="both"/>
        <w:rPr>
          <w:sz w:val="26"/>
        </w:rPr>
      </w:pPr>
      <w:r>
        <w:rPr>
          <w:sz w:val="26"/>
        </w:rPr>
        <w:t>1</w:t>
      </w:r>
      <w:r>
        <w:rPr>
          <w:sz w:val="26"/>
        </w:rPr>
        <w:t xml:space="preserve">. </w:t>
      </w:r>
      <w:r>
        <w:rPr>
          <w:sz w:val="26"/>
        </w:rPr>
        <w:t>Признать в действиях Заказчика нарушени</w:t>
      </w:r>
      <w:r>
        <w:rPr>
          <w:sz w:val="26"/>
        </w:rPr>
        <w:t>я</w:t>
      </w:r>
      <w:r>
        <w:rPr>
          <w:sz w:val="26"/>
        </w:rPr>
        <w:t xml:space="preserve"> пункт</w:t>
      </w:r>
      <w:r>
        <w:rPr>
          <w:sz w:val="26"/>
        </w:rPr>
        <w:t>а</w:t>
      </w:r>
      <w:r>
        <w:rPr>
          <w:sz w:val="26"/>
        </w:rPr>
        <w:t xml:space="preserve"> 5</w:t>
      </w:r>
      <w:r>
        <w:rPr>
          <w:sz w:val="26"/>
        </w:rPr>
        <w:t xml:space="preserve"> части 1 статьи 42, пункта </w:t>
      </w:r>
      <w:r>
        <w:rPr>
          <w:sz w:val="26"/>
        </w:rPr>
        <w:t>3</w:t>
      </w:r>
      <w:r>
        <w:rPr>
          <w:sz w:val="26"/>
        </w:rPr>
        <w:t xml:space="preserve"> части 2 статьи 42</w:t>
      </w:r>
      <w:r>
        <w:rPr>
          <w:sz w:val="26"/>
        </w:rPr>
        <w:t xml:space="preserve"> </w:t>
      </w:r>
      <w:r>
        <w:rPr>
          <w:sz w:val="26"/>
        </w:rPr>
        <w:t xml:space="preserve">Закона о контрактной системе. </w:t>
      </w:r>
    </w:p>
    <w:p w14:paraId="5B000000">
      <w:pPr>
        <w:tabs>
          <w:tab w:leader="none" w:pos="851" w:val="left"/>
          <w:tab w:leader="none" w:pos="993" w:val="left"/>
          <w:tab w:leader="none" w:pos="1134" w:val="left"/>
        </w:tabs>
        <w:spacing w:before="0" w:line="276" w:lineRule="auto"/>
        <w:ind w:firstLine="851" w:left="0"/>
        <w:jc w:val="both"/>
        <w:rPr>
          <w:sz w:val="26"/>
        </w:rPr>
      </w:pPr>
      <w:r>
        <w:rPr>
          <w:sz w:val="26"/>
        </w:rPr>
        <w:t>2</w:t>
      </w:r>
      <w:r>
        <w:rPr>
          <w:sz w:val="26"/>
        </w:rPr>
        <w:t xml:space="preserve">. </w:t>
      </w:r>
      <w:r>
        <w:rPr>
          <w:sz w:val="26"/>
        </w:rPr>
        <w:t>Заказчику</w:t>
      </w:r>
      <w:r>
        <w:rPr>
          <w:sz w:val="26"/>
        </w:rPr>
        <w:t xml:space="preserve">, </w:t>
      </w:r>
      <w:r>
        <w:rPr>
          <w:sz w:val="26"/>
        </w:rPr>
        <w:t>Аукционной</w:t>
      </w:r>
      <w:r>
        <w:rPr>
          <w:sz w:val="26"/>
        </w:rPr>
        <w:t xml:space="preserve"> комиссии, Оператору электронной площадки обязательное для исполнения предписание об устранении допущенных нарушен</w:t>
      </w:r>
      <w:r>
        <w:rPr>
          <w:sz w:val="26"/>
        </w:rPr>
        <w:t>ий З</w:t>
      </w:r>
      <w:r>
        <w:rPr>
          <w:sz w:val="26"/>
        </w:rPr>
        <w:t>акона о контрактной системе</w:t>
      </w:r>
      <w:r>
        <w:rPr>
          <w:sz w:val="26"/>
        </w:rPr>
        <w:t xml:space="preserve"> не выдавать</w:t>
      </w:r>
      <w:r>
        <w:rPr>
          <w:sz w:val="26"/>
        </w:rPr>
        <w:t>, так как контракт заключен</w:t>
      </w:r>
    </w:p>
    <w:p w14:paraId="5C000000">
      <w:pPr>
        <w:pStyle w:val="Style_4"/>
        <w:widowControl w:val="1"/>
        <w:tabs>
          <w:tab w:leader="none" w:pos="851" w:val="left"/>
          <w:tab w:leader="none" w:pos="993" w:val="left"/>
          <w:tab w:leader="none" w:pos="1134" w:val="left"/>
        </w:tabs>
        <w:spacing w:before="0" w:line="276" w:lineRule="auto"/>
        <w:ind w:firstLine="851" w:left="0"/>
        <w:jc w:val="both"/>
        <w:rPr>
          <w:sz w:val="26"/>
        </w:rPr>
      </w:pPr>
      <w:r>
        <w:rPr>
          <w:sz w:val="26"/>
        </w:rPr>
        <w:t>Настоящее решение может быть обжаловано в суде, арбитражном суде в течение трех месяцев в установленном законом порядке.</w:t>
      </w:r>
    </w:p>
    <w:p w14:paraId="5D000000">
      <w:pPr>
        <w:widowControl w:val="1"/>
        <w:tabs>
          <w:tab w:leader="none" w:pos="709" w:val="left"/>
          <w:tab w:leader="none" w:pos="902" w:val="left"/>
        </w:tabs>
        <w:spacing w:before="0" w:line="276" w:lineRule="auto"/>
        <w:ind w:firstLine="0" w:left="0"/>
        <w:jc w:val="both"/>
        <w:rPr>
          <w:sz w:val="24"/>
        </w:rPr>
      </w:pPr>
    </w:p>
    <w:sectPr>
      <w:headerReference r:id="rId1" w:type="even"/>
      <w:headerReference r:id="rId2" w:type="default"/>
      <w:pgSz w:h="16838" w:orient="portrait" w:w="11906"/>
      <w:pgMar w:bottom="709" w:footer="709" w:gutter="0" w:header="709" w:left="1701" w:right="85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firstLine="0" w:left="0"/>
      <w:jc w:val="center"/>
    </w:pP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3000000">
    <w:pPr>
      <w:pStyle w:val="Style_1"/>
      <w:ind/>
      <w:jc w:val="center"/>
      <w:rPr>
        <w:sz w:val="28"/>
      </w:rPr>
    </w:pPr>
  </w:p>
  <w:p w14:paraId="04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evenAndOddHeaders/>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after="0" w:before="120" w:line="240" w:lineRule="auto"/>
      <w:ind w:firstLine="849" w:left="0"/>
    </w:pPr>
    <w:rPr>
      <w:rFonts w:ascii="Times New Roman" w:hAnsi="Times New Roman"/>
      <w:color w:val="000000"/>
    </w:rPr>
  </w:style>
  <w:style w:default="1" w:styleId="Style_5_ch" w:type="character">
    <w:name w:val="Normal"/>
    <w:link w:val="Style_5"/>
    <w:rPr>
      <w:rFonts w:ascii="Times New Roman" w:hAnsi="Times New Roman"/>
      <w:color w:val="000000"/>
    </w:rPr>
  </w:style>
  <w:style w:styleId="Style_6" w:type="paragraph">
    <w:name w:val="Default"/>
    <w:link w:val="Style_6_ch"/>
    <w:pPr>
      <w:spacing w:after="0" w:line="240" w:lineRule="auto"/>
      <w:ind/>
    </w:pPr>
    <w:rPr>
      <w:rFonts w:ascii="Times New Roman" w:hAnsi="Times New Roman"/>
      <w:color w:val="000000"/>
      <w:sz w:val="24"/>
    </w:rPr>
  </w:style>
  <w:style w:styleId="Style_6_ch" w:type="character">
    <w:name w:val="Default"/>
    <w:link w:val="Style_6"/>
    <w:rPr>
      <w:rFonts w:ascii="Times New Roman" w:hAnsi="Times New Roman"/>
      <w:color w:val="000000"/>
      <w:sz w:val="24"/>
    </w:rPr>
  </w:style>
  <w:style w:styleId="Style_7" w:type="paragraph">
    <w:name w:val="toc 2"/>
    <w:next w:val="Style_5"/>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formattext"/>
    <w:basedOn w:val="Style_5"/>
    <w:link w:val="Style_8_ch"/>
    <w:pPr>
      <w:widowControl w:val="1"/>
      <w:spacing w:afterAutospacing="on" w:beforeAutospacing="on"/>
      <w:ind w:firstLine="0" w:left="0"/>
    </w:pPr>
    <w:rPr>
      <w:color w:val="000000"/>
      <w:sz w:val="24"/>
    </w:rPr>
  </w:style>
  <w:style w:styleId="Style_8_ch" w:type="character">
    <w:name w:val="formattext"/>
    <w:basedOn w:val="Style_5_ch"/>
    <w:link w:val="Style_8"/>
    <w:rPr>
      <w:color w:val="000000"/>
      <w:sz w:val="24"/>
    </w:rPr>
  </w:style>
  <w:style w:styleId="Style_9" w:type="paragraph">
    <w:name w:val="toc 4"/>
    <w:next w:val="Style_5"/>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Знак Знак Знак1 Знак Знак Знак2 Знак"/>
    <w:basedOn w:val="Style_5"/>
    <w:next w:val="Style_11"/>
    <w:link w:val="Style_10_ch"/>
    <w:pPr>
      <w:widowControl w:val="1"/>
      <w:spacing w:after="160" w:before="0" w:line="240" w:lineRule="exact"/>
      <w:ind w:firstLine="0" w:left="0"/>
    </w:pPr>
    <w:rPr>
      <w:color w:val="000000"/>
      <w:sz w:val="24"/>
    </w:rPr>
  </w:style>
  <w:style w:styleId="Style_10_ch" w:type="character">
    <w:name w:val="Знак Знак Знак1 Знак Знак Знак2 Знак"/>
    <w:basedOn w:val="Style_5_ch"/>
    <w:link w:val="Style_10"/>
    <w:rPr>
      <w:color w:val="000000"/>
      <w:sz w:val="24"/>
    </w:rPr>
  </w:style>
  <w:style w:styleId="Style_12" w:type="paragraph">
    <w:name w:val="toc 6"/>
    <w:next w:val="Style_5"/>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4" w:type="paragraph">
    <w:name w:val="List Paragraph"/>
    <w:basedOn w:val="Style_5"/>
    <w:link w:val="Style_4_ch"/>
    <w:pPr>
      <w:ind w:firstLine="0" w:left="720"/>
      <w:contextualSpacing w:val="1"/>
    </w:pPr>
  </w:style>
  <w:style w:styleId="Style_4_ch" w:type="character">
    <w:name w:val="List Paragraph"/>
    <w:basedOn w:val="Style_5_ch"/>
    <w:link w:val="Style_4"/>
  </w:style>
  <w:style w:styleId="Style_13" w:type="paragraph">
    <w:name w:val="toc 7"/>
    <w:next w:val="Style_5"/>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4" w:type="paragraph">
    <w:name w:val="Strong"/>
    <w:basedOn w:val="Style_15"/>
    <w:link w:val="Style_14_ch"/>
    <w:rPr>
      <w:b w:val="1"/>
    </w:rPr>
  </w:style>
  <w:style w:styleId="Style_14_ch" w:type="character">
    <w:name w:val="Strong"/>
    <w:basedOn w:val="Style_15_ch"/>
    <w:link w:val="Style_14"/>
    <w:rPr>
      <w:b w:val="1"/>
    </w:rPr>
  </w:style>
  <w:style w:styleId="Style_16" w:type="paragraph">
    <w:name w:val="heading 3"/>
    <w:next w:val="Style_5"/>
    <w:link w:val="Style_16_ch"/>
    <w:uiPriority w:val="9"/>
    <w:qFormat/>
    <w:pPr>
      <w:spacing w:after="120" w:before="120"/>
      <w:ind/>
      <w:jc w:val="both"/>
      <w:outlineLvl w:val="2"/>
    </w:pPr>
    <w:rPr>
      <w:rFonts w:ascii="XO Thames" w:hAnsi="XO Thames"/>
      <w:b w:val="1"/>
      <w:sz w:val="26"/>
    </w:rPr>
  </w:style>
  <w:style w:styleId="Style_16_ch" w:type="character">
    <w:name w:val="heading 3"/>
    <w:link w:val="Style_16"/>
    <w:rPr>
      <w:rFonts w:ascii="XO Thames" w:hAnsi="XO Thames"/>
      <w:b w:val="1"/>
      <w:sz w:val="26"/>
    </w:rPr>
  </w:style>
  <w:style w:styleId="Style_17" w:type="paragraph">
    <w:name w:val="Balloon Text"/>
    <w:basedOn w:val="Style_5"/>
    <w:link w:val="Style_17_ch"/>
    <w:pPr>
      <w:spacing w:before="0"/>
      <w:ind/>
    </w:pPr>
    <w:rPr>
      <w:rFonts w:ascii="Tahoma" w:hAnsi="Tahoma"/>
      <w:sz w:val="16"/>
    </w:rPr>
  </w:style>
  <w:style w:styleId="Style_17_ch" w:type="character">
    <w:name w:val="Balloon Text"/>
    <w:basedOn w:val="Style_5_ch"/>
    <w:link w:val="Style_17"/>
    <w:rPr>
      <w:rFonts w:ascii="Tahoma" w:hAnsi="Tahoma"/>
      <w:sz w:val="16"/>
    </w:rPr>
  </w:style>
  <w:style w:styleId="Style_15" w:type="paragraph">
    <w:name w:val="Default Paragraph Font"/>
    <w:link w:val="Style_15_ch"/>
  </w:style>
  <w:style w:styleId="Style_15_ch" w:type="character">
    <w:name w:val="Default Paragraph Font"/>
    <w:link w:val="Style_15"/>
  </w:style>
  <w:style w:styleId="Style_18" w:type="paragraph">
    <w:name w:val="Основной текст7"/>
    <w:basedOn w:val="Style_5"/>
    <w:link w:val="Style_18_ch"/>
    <w:pPr>
      <w:widowControl w:val="1"/>
      <w:spacing w:before="6660" w:line="254" w:lineRule="exact"/>
      <w:ind w:firstLine="0" w:left="0"/>
      <w:jc w:val="center"/>
    </w:pPr>
    <w:rPr>
      <w:color w:val="000000"/>
      <w:sz w:val="21"/>
    </w:rPr>
  </w:style>
  <w:style w:styleId="Style_18_ch" w:type="character">
    <w:name w:val="Основной текст7"/>
    <w:basedOn w:val="Style_5_ch"/>
    <w:link w:val="Style_18"/>
    <w:rPr>
      <w:color w:val="000000"/>
      <w:sz w:val="21"/>
    </w:rPr>
  </w:style>
  <w:style w:styleId="Style_19" w:type="paragraph">
    <w:name w:val="ConsPlusNormal"/>
    <w:link w:val="Style_19_ch"/>
    <w:pPr>
      <w:spacing w:after="0" w:line="240" w:lineRule="auto"/>
      <w:ind/>
    </w:pPr>
    <w:rPr>
      <w:rFonts w:ascii="Times New Roman" w:hAnsi="Times New Roman"/>
      <w:sz w:val="26"/>
    </w:rPr>
  </w:style>
  <w:style w:styleId="Style_19_ch" w:type="character">
    <w:name w:val="ConsPlusNormal"/>
    <w:link w:val="Style_19"/>
    <w:rPr>
      <w:rFonts w:ascii="Times New Roman" w:hAnsi="Times New Roman"/>
      <w:sz w:val="26"/>
    </w:rPr>
  </w:style>
  <w:style w:styleId="Style_20" w:type="paragraph">
    <w:name w:val="cardmaininfo__content"/>
    <w:basedOn w:val="Style_15"/>
    <w:link w:val="Style_20_ch"/>
  </w:style>
  <w:style w:styleId="Style_20_ch" w:type="character">
    <w:name w:val="cardmaininfo__content"/>
    <w:basedOn w:val="Style_15_ch"/>
    <w:link w:val="Style_20"/>
  </w:style>
  <w:style w:styleId="Style_21" w:type="paragraph">
    <w:name w:val="Основной шрифт абзаца1"/>
    <w:link w:val="Style_21_ch"/>
  </w:style>
  <w:style w:styleId="Style_21_ch" w:type="character">
    <w:name w:val="Основной шрифт абзаца1"/>
    <w:link w:val="Style_21"/>
  </w:style>
  <w:style w:styleId="Style_22" w:type="paragraph">
    <w:name w:val="toc 3"/>
    <w:next w:val="Style_5"/>
    <w:link w:val="Style_22_ch"/>
    <w:uiPriority w:val="39"/>
    <w:pPr>
      <w:ind w:firstLine="0" w:left="400"/>
      <w:jc w:val="left"/>
    </w:pPr>
    <w:rPr>
      <w:rFonts w:ascii="XO Thames" w:hAnsi="XO Thames"/>
      <w:sz w:val="28"/>
    </w:rPr>
  </w:style>
  <w:style w:styleId="Style_22_ch" w:type="character">
    <w:name w:val="toc 3"/>
    <w:link w:val="Style_22"/>
    <w:rPr>
      <w:rFonts w:ascii="XO Thames" w:hAnsi="XO Thames"/>
      <w:sz w:val="28"/>
    </w:rPr>
  </w:style>
  <w:style w:styleId="Style_23" w:type="paragraph">
    <w:name w:val="No Spacing"/>
    <w:link w:val="Style_23_ch"/>
    <w:pPr>
      <w:spacing w:after="0" w:line="240" w:lineRule="auto"/>
      <w:ind/>
    </w:pPr>
    <w:rPr>
      <w:rFonts w:ascii="Times New Roman" w:hAnsi="Times New Roman"/>
      <w:sz w:val="24"/>
    </w:rPr>
  </w:style>
  <w:style w:styleId="Style_23_ch" w:type="character">
    <w:name w:val="No Spacing"/>
    <w:link w:val="Style_23"/>
    <w:rPr>
      <w:rFonts w:ascii="Times New Roman" w:hAnsi="Times New Roman"/>
      <w:sz w:val="24"/>
    </w:rPr>
  </w:style>
  <w:style w:styleId="Style_24" w:type="paragraph">
    <w:name w:val="heading 5"/>
    <w:next w:val="Style_5"/>
    <w:link w:val="Style_24_ch"/>
    <w:uiPriority w:val="9"/>
    <w:qFormat/>
    <w:pPr>
      <w:spacing w:after="120" w:before="120"/>
      <w:ind/>
      <w:jc w:val="both"/>
      <w:outlineLvl w:val="4"/>
    </w:pPr>
    <w:rPr>
      <w:rFonts w:ascii="XO Thames" w:hAnsi="XO Thames"/>
      <w:b w:val="1"/>
      <w:sz w:val="22"/>
    </w:rPr>
  </w:style>
  <w:style w:styleId="Style_24_ch" w:type="character">
    <w:name w:val="heading 5"/>
    <w:link w:val="Style_24"/>
    <w:rPr>
      <w:rFonts w:ascii="XO Thames" w:hAnsi="XO Thames"/>
      <w:b w:val="1"/>
      <w:sz w:val="22"/>
    </w:rPr>
  </w:style>
  <w:style w:styleId="Style_25" w:type="paragraph">
    <w:name w:val="heading 1"/>
    <w:basedOn w:val="Style_5"/>
    <w:next w:val="Style_5"/>
    <w:link w:val="Style_25_ch"/>
    <w:uiPriority w:val="9"/>
    <w:qFormat/>
    <w:pPr>
      <w:keepNext w:val="1"/>
      <w:keepLines w:val="1"/>
      <w:spacing w:before="240"/>
      <w:ind/>
      <w:outlineLvl w:val="0"/>
    </w:pPr>
    <w:rPr>
      <w:rFonts w:asciiTheme="majorAscii" w:hAnsiTheme="majorHAnsi"/>
      <w:color w:themeColor="accent1" w:themeShade="BF" w:val="376092"/>
      <w:sz w:val="32"/>
    </w:rPr>
  </w:style>
  <w:style w:styleId="Style_25_ch" w:type="character">
    <w:name w:val="heading 1"/>
    <w:basedOn w:val="Style_5_ch"/>
    <w:link w:val="Style_25"/>
    <w:rPr>
      <w:rFonts w:asciiTheme="majorAscii" w:hAnsiTheme="majorHAnsi"/>
      <w:color w:themeColor="accent1" w:themeShade="BF" w:val="376092"/>
      <w:sz w:val="32"/>
    </w:rPr>
  </w:style>
  <w:style w:styleId="Style_3" w:type="paragraph">
    <w:name w:val="section__info"/>
    <w:basedOn w:val="Style_15"/>
    <w:link w:val="Style_3_ch"/>
  </w:style>
  <w:style w:styleId="Style_3_ch" w:type="character">
    <w:name w:val="section__info"/>
    <w:basedOn w:val="Style_15_ch"/>
    <w:link w:val="Style_3"/>
  </w:style>
  <w:style w:styleId="Style_26" w:type="paragraph">
    <w:name w:val="Hyperlink"/>
    <w:basedOn w:val="Style_15"/>
    <w:link w:val="Style_26_ch"/>
    <w:rPr>
      <w:color w:themeColor="hyperlink" w:val="0000FF"/>
      <w:u w:val="single"/>
    </w:rPr>
  </w:style>
  <w:style w:styleId="Style_26_ch" w:type="character">
    <w:name w:val="Hyperlink"/>
    <w:basedOn w:val="Style_15_ch"/>
    <w:link w:val="Style_26"/>
    <w:rPr>
      <w:color w:themeColor="hyperlink" w:val="0000FF"/>
      <w:u w:val="single"/>
    </w:rPr>
  </w:style>
  <w:style w:styleId="Style_27" w:type="paragraph">
    <w:name w:val="Footnote"/>
    <w:basedOn w:val="Style_5"/>
    <w:link w:val="Style_27_ch"/>
    <w:pPr>
      <w:widowControl w:val="1"/>
      <w:spacing w:before="0"/>
      <w:ind w:firstLine="0" w:left="0"/>
    </w:pPr>
    <w:rPr>
      <w:color w:val="000000"/>
      <w:sz w:val="20"/>
    </w:rPr>
  </w:style>
  <w:style w:styleId="Style_27_ch" w:type="character">
    <w:name w:val="Footnote"/>
    <w:basedOn w:val="Style_5_ch"/>
    <w:link w:val="Style_27"/>
    <w:rPr>
      <w:color w:val="000000"/>
      <w:sz w:val="20"/>
    </w:rPr>
  </w:style>
  <w:style w:styleId="Style_28" w:type="paragraph">
    <w:name w:val="heading 8"/>
    <w:basedOn w:val="Style_5"/>
    <w:next w:val="Style_5"/>
    <w:link w:val="Style_28_ch"/>
    <w:uiPriority w:val="9"/>
    <w:qFormat/>
    <w:pPr>
      <w:keepNext w:val="1"/>
      <w:keepLines w:val="1"/>
      <w:spacing w:before="40"/>
      <w:ind/>
      <w:outlineLvl w:val="7"/>
    </w:pPr>
    <w:rPr>
      <w:rFonts w:asciiTheme="majorAscii" w:hAnsiTheme="majorHAnsi"/>
      <w:color w:themeColor="text1" w:themeTint="D8" w:val="272727"/>
      <w:sz w:val="21"/>
    </w:rPr>
  </w:style>
  <w:style w:styleId="Style_28_ch" w:type="character">
    <w:name w:val="heading 8"/>
    <w:basedOn w:val="Style_5_ch"/>
    <w:link w:val="Style_28"/>
    <w:rPr>
      <w:rFonts w:asciiTheme="majorAscii" w:hAnsiTheme="majorHAnsi"/>
      <w:color w:themeColor="text1" w:themeTint="D8" w:val="272727"/>
      <w:sz w:val="21"/>
    </w:rPr>
  </w:style>
  <w:style w:styleId="Style_29" w:type="paragraph">
    <w:name w:val="toc 1"/>
    <w:next w:val="Style_5"/>
    <w:link w:val="Style_29_ch"/>
    <w:uiPriority w:val="39"/>
    <w:pPr>
      <w:ind w:firstLine="0" w:left="0"/>
      <w:jc w:val="left"/>
    </w:pPr>
    <w:rPr>
      <w:rFonts w:ascii="XO Thames" w:hAnsi="XO Thames"/>
      <w:b w:val="1"/>
      <w:sz w:val="28"/>
    </w:rPr>
  </w:style>
  <w:style w:styleId="Style_29_ch" w:type="character">
    <w:name w:val="toc 1"/>
    <w:link w:val="Style_29"/>
    <w:rPr>
      <w:rFonts w:ascii="XO Thames" w:hAnsi="XO Thames"/>
      <w:b w:val="1"/>
      <w:sz w:val="28"/>
    </w:rPr>
  </w:style>
  <w:style w:styleId="Style_30" w:type="paragraph">
    <w:name w:val="Header and Footer"/>
    <w:link w:val="Style_30_ch"/>
    <w:pPr>
      <w:spacing w:line="240" w:lineRule="auto"/>
      <w:ind/>
      <w:jc w:val="both"/>
    </w:pPr>
    <w:rPr>
      <w:rFonts w:ascii="XO Thames" w:hAnsi="XO Thames"/>
      <w:sz w:val="20"/>
    </w:rPr>
  </w:style>
  <w:style w:styleId="Style_30_ch" w:type="character">
    <w:name w:val="Header and Footer"/>
    <w:link w:val="Style_30"/>
    <w:rPr>
      <w:rFonts w:ascii="XO Thames" w:hAnsi="XO Thames"/>
      <w:sz w:val="20"/>
    </w:rPr>
  </w:style>
  <w:style w:styleId="Style_31" w:type="paragraph">
    <w:name w:val="Placeholder Text"/>
    <w:basedOn w:val="Style_15"/>
    <w:link w:val="Style_31_ch"/>
    <w:rPr>
      <w:color w:val="808080"/>
    </w:rPr>
  </w:style>
  <w:style w:styleId="Style_31_ch" w:type="character">
    <w:name w:val="Placeholder Text"/>
    <w:basedOn w:val="Style_15_ch"/>
    <w:link w:val="Style_31"/>
    <w:rPr>
      <w:color w:val="808080"/>
    </w:rPr>
  </w:style>
  <w:style w:styleId="Style_32" w:type="paragraph">
    <w:name w:val="Body Text"/>
    <w:basedOn w:val="Style_5"/>
    <w:link w:val="Style_32_ch"/>
    <w:pPr>
      <w:spacing w:before="0"/>
      <w:ind w:firstLine="0" w:left="101"/>
    </w:pPr>
    <w:rPr>
      <w:color w:val="000000"/>
      <w:sz w:val="24"/>
    </w:rPr>
  </w:style>
  <w:style w:styleId="Style_32_ch" w:type="character">
    <w:name w:val="Body Text"/>
    <w:basedOn w:val="Style_5_ch"/>
    <w:link w:val="Style_32"/>
    <w:rPr>
      <w:color w:val="000000"/>
      <w:sz w:val="24"/>
    </w:rPr>
  </w:style>
  <w:style w:styleId="Style_33" w:type="paragraph">
    <w:name w:val="toc 9"/>
    <w:next w:val="Style_5"/>
    <w:link w:val="Style_33_ch"/>
    <w:uiPriority w:val="39"/>
    <w:pPr>
      <w:ind w:firstLine="0" w:left="1600"/>
      <w:jc w:val="left"/>
    </w:pPr>
    <w:rPr>
      <w:rFonts w:ascii="XO Thames" w:hAnsi="XO Thames"/>
      <w:sz w:val="28"/>
    </w:rPr>
  </w:style>
  <w:style w:styleId="Style_33_ch" w:type="character">
    <w:name w:val="toc 9"/>
    <w:link w:val="Style_33"/>
    <w:rPr>
      <w:rFonts w:ascii="XO Thames" w:hAnsi="XO Thames"/>
      <w:sz w:val="28"/>
    </w:rPr>
  </w:style>
  <w:style w:styleId="Style_34" w:type="paragraph">
    <w:name w:val="footnote reference"/>
    <w:link w:val="Style_34_ch"/>
    <w:rPr>
      <w:vertAlign w:val="superscript"/>
    </w:rPr>
  </w:style>
  <w:style w:styleId="Style_34_ch" w:type="character">
    <w:name w:val="footnote reference"/>
    <w:link w:val="Style_34"/>
    <w:rPr>
      <w:vertAlign w:val="superscript"/>
    </w:rPr>
  </w:style>
  <w:style w:styleId="Style_35" w:type="paragraph">
    <w:name w:val="Normal (Web)"/>
    <w:basedOn w:val="Style_5"/>
    <w:link w:val="Style_35_ch"/>
    <w:rPr>
      <w:sz w:val="24"/>
    </w:rPr>
  </w:style>
  <w:style w:styleId="Style_35_ch" w:type="character">
    <w:name w:val="Normal (Web)"/>
    <w:basedOn w:val="Style_5_ch"/>
    <w:link w:val="Style_35"/>
    <w:rPr>
      <w:sz w:val="24"/>
    </w:rPr>
  </w:style>
  <w:style w:styleId="Style_36" w:type="paragraph">
    <w:name w:val="toc 8"/>
    <w:next w:val="Style_5"/>
    <w:link w:val="Style_36_ch"/>
    <w:uiPriority w:val="39"/>
    <w:pPr>
      <w:ind w:firstLine="0" w:left="1400"/>
      <w:jc w:val="left"/>
    </w:pPr>
    <w:rPr>
      <w:rFonts w:ascii="XO Thames" w:hAnsi="XO Thames"/>
      <w:sz w:val="28"/>
    </w:rPr>
  </w:style>
  <w:style w:styleId="Style_36_ch" w:type="character">
    <w:name w:val="toc 8"/>
    <w:link w:val="Style_36"/>
    <w:rPr>
      <w:rFonts w:ascii="XO Thames" w:hAnsi="XO Thames"/>
      <w:sz w:val="28"/>
    </w:rPr>
  </w:style>
  <w:style w:styleId="Style_1" w:type="paragraph">
    <w:name w:val="header"/>
    <w:basedOn w:val="Style_5"/>
    <w:link w:val="Style_1_ch"/>
    <w:pPr>
      <w:tabs>
        <w:tab w:leader="none" w:pos="4677" w:val="center"/>
        <w:tab w:leader="none" w:pos="9355" w:val="right"/>
      </w:tabs>
      <w:spacing w:before="0"/>
      <w:ind/>
    </w:pPr>
  </w:style>
  <w:style w:styleId="Style_1_ch" w:type="character">
    <w:name w:val="header"/>
    <w:basedOn w:val="Style_5_ch"/>
    <w:link w:val="Style_1"/>
  </w:style>
  <w:style w:styleId="Style_37" w:type="paragraph">
    <w:name w:val="toc 5"/>
    <w:next w:val="Style_5"/>
    <w:link w:val="Style_37_ch"/>
    <w:uiPriority w:val="39"/>
    <w:pPr>
      <w:ind w:firstLine="0" w:left="800"/>
      <w:jc w:val="left"/>
    </w:pPr>
    <w:rPr>
      <w:rFonts w:ascii="XO Thames" w:hAnsi="XO Thames"/>
      <w:sz w:val="28"/>
    </w:rPr>
  </w:style>
  <w:style w:styleId="Style_37_ch" w:type="character">
    <w:name w:val="toc 5"/>
    <w:link w:val="Style_37"/>
    <w:rPr>
      <w:rFonts w:ascii="XO Thames" w:hAnsi="XO Thames"/>
      <w:sz w:val="28"/>
    </w:rPr>
  </w:style>
  <w:style w:styleId="Style_38" w:type="paragraph">
    <w:name w:val="footer"/>
    <w:basedOn w:val="Style_5"/>
    <w:link w:val="Style_38_ch"/>
    <w:pPr>
      <w:tabs>
        <w:tab w:leader="none" w:pos="4677" w:val="center"/>
        <w:tab w:leader="none" w:pos="9355" w:val="right"/>
      </w:tabs>
      <w:spacing w:before="0"/>
      <w:ind/>
    </w:pPr>
  </w:style>
  <w:style w:styleId="Style_38_ch" w:type="character">
    <w:name w:val="footer"/>
    <w:basedOn w:val="Style_5_ch"/>
    <w:link w:val="Style_38"/>
  </w:style>
  <w:style w:styleId="Style_39" w:type="paragraph">
    <w:name w:val="Subtitle"/>
    <w:next w:val="Style_5"/>
    <w:link w:val="Style_39_ch"/>
    <w:uiPriority w:val="11"/>
    <w:qFormat/>
    <w:pPr>
      <w:ind/>
      <w:jc w:val="both"/>
    </w:pPr>
    <w:rPr>
      <w:rFonts w:ascii="XO Thames" w:hAnsi="XO Thames"/>
      <w:i w:val="1"/>
      <w:sz w:val="24"/>
    </w:rPr>
  </w:style>
  <w:style w:styleId="Style_39_ch" w:type="character">
    <w:name w:val="Subtitle"/>
    <w:link w:val="Style_39"/>
    <w:rPr>
      <w:rFonts w:ascii="XO Thames" w:hAnsi="XO Thames"/>
      <w:i w:val="1"/>
      <w:sz w:val="24"/>
    </w:rPr>
  </w:style>
  <w:style w:styleId="Style_40" w:type="paragraph">
    <w:name w:val="Title"/>
    <w:next w:val="Style_5"/>
    <w:link w:val="Style_40_ch"/>
    <w:uiPriority w:val="10"/>
    <w:qFormat/>
    <w:pPr>
      <w:spacing w:after="567" w:before="567"/>
      <w:ind/>
      <w:jc w:val="center"/>
    </w:pPr>
    <w:rPr>
      <w:rFonts w:ascii="XO Thames" w:hAnsi="XO Thames"/>
      <w:b w:val="1"/>
      <w:caps w:val="1"/>
      <w:sz w:val="40"/>
    </w:rPr>
  </w:style>
  <w:style w:styleId="Style_40_ch" w:type="character">
    <w:name w:val="Title"/>
    <w:link w:val="Style_40"/>
    <w:rPr>
      <w:rFonts w:ascii="XO Thames" w:hAnsi="XO Thames"/>
      <w:b w:val="1"/>
      <w:caps w:val="1"/>
      <w:sz w:val="40"/>
    </w:rPr>
  </w:style>
  <w:style w:styleId="Style_41" w:type="paragraph">
    <w:name w:val="heading 4"/>
    <w:next w:val="Style_5"/>
    <w:link w:val="Style_41_ch"/>
    <w:uiPriority w:val="9"/>
    <w:qFormat/>
    <w:pPr>
      <w:spacing w:after="120" w:before="120"/>
      <w:ind/>
      <w:jc w:val="both"/>
      <w:outlineLvl w:val="3"/>
    </w:pPr>
    <w:rPr>
      <w:rFonts w:ascii="XO Thames" w:hAnsi="XO Thames"/>
      <w:b w:val="1"/>
      <w:sz w:val="24"/>
    </w:rPr>
  </w:style>
  <w:style w:styleId="Style_41_ch" w:type="character">
    <w:name w:val="heading 4"/>
    <w:link w:val="Style_41"/>
    <w:rPr>
      <w:rFonts w:ascii="XO Thames" w:hAnsi="XO Thames"/>
      <w:b w:val="1"/>
      <w:sz w:val="24"/>
    </w:rPr>
  </w:style>
  <w:style w:styleId="Style_11" w:type="paragraph">
    <w:name w:val="heading 2"/>
    <w:basedOn w:val="Style_5"/>
    <w:next w:val="Style_5"/>
    <w:link w:val="Style_11_ch"/>
    <w:uiPriority w:val="9"/>
    <w:qFormat/>
    <w:pPr>
      <w:keepNext w:val="1"/>
      <w:keepLines w:val="1"/>
      <w:spacing w:before="200"/>
      <w:ind/>
      <w:outlineLvl w:val="1"/>
    </w:pPr>
    <w:rPr>
      <w:rFonts w:asciiTheme="majorAscii" w:hAnsiTheme="majorHAnsi"/>
      <w:b w:val="1"/>
      <w:color w:themeColor="accent1" w:val="4F81BD"/>
      <w:sz w:val="26"/>
    </w:rPr>
  </w:style>
  <w:style w:styleId="Style_11_ch" w:type="character">
    <w:name w:val="heading 2"/>
    <w:basedOn w:val="Style_5_ch"/>
    <w:link w:val="Style_11"/>
    <w:rPr>
      <w:rFonts w:asciiTheme="majorAscii" w:hAnsiTheme="majorHAnsi"/>
      <w:b w:val="1"/>
      <w:color w:themeColor="accent1" w:val="4F81BD"/>
      <w:sz w:val="26"/>
    </w:rPr>
  </w:style>
  <w:style w:default="1" w:styleId="Style_2" w:type="table">
    <w:name w:val="Normal Table"/>
    <w:tblPr>
      <w:tblInd w:type="dxa" w:w="0"/>
      <w:tblCellMar>
        <w:top w:type="dxa" w:w="0"/>
        <w:left w:type="dxa" w:w="108"/>
        <w:bottom w:type="dxa" w:w="0"/>
        <w:right w:type="dxa" w:w="108"/>
      </w:tblCellMar>
    </w:tblPr>
  </w:style>
  <w:style w:styleId="Style_42" w:type="table">
    <w:name w:val="Сетка таблицы3"/>
    <w:basedOn w:val="Style_2"/>
    <w:pPr>
      <w:spacing w:after="0" w:line="240" w:lineRule="auto"/>
      <w:ind/>
    </w:pPr>
    <w:rPr>
      <w:rFonts w:ascii="Times New Roman" w:hAnsi="Times New Roman"/>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43" w:type="table">
    <w:name w:val="Table Grid"/>
    <w:basedOn w:val="Style_2"/>
    <w:pPr>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8" Target="theme/theme1.xml" Type="http://schemas.openxmlformats.org/officeDocument/2006/relationships/theme"/>
  <Relationship Id="rId4" Target="settings.xml" Type="http://schemas.openxmlformats.org/officeDocument/2006/relationships/settings"/>
  <Relationship Id="rId3" Target="fontTable.xml" Type="http://schemas.openxmlformats.org/officeDocument/2006/relationships/fontTable"/>
  <Relationship Id="rId2" Target="header2.xml" Type="http://schemas.openxmlformats.org/officeDocument/2006/relationships/head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MyOffice-CoreFramework-macOS/29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2024-01-29T08:05:58Z</dcterms:modified>
</cp:coreProperties>
</file>