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129B7">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SEQ CHAPTER \h \r 1</w:instrTex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SEQ CHAPTER \h \r 1</w:instrTex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drawing>
          <wp:anchor distT="0" distB="0" distL="114300" distR="114300" simplePos="0" relativeHeight="251659264" behindDoc="0" locked="0" layoutInCell="1" allowOverlap="1">
            <wp:simplePos x="0" y="0"/>
            <wp:positionH relativeFrom="column">
              <wp:posOffset>2750185</wp:posOffset>
            </wp:positionH>
            <wp:positionV relativeFrom="paragraph">
              <wp:posOffset>0</wp:posOffset>
            </wp:positionV>
            <wp:extent cx="609600" cy="685800"/>
            <wp:effectExtent l="0" t="0" r="0" b="0"/>
            <wp:wrapTopAndBottom/>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 descr="GRAPHIC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09600" cy="685800"/>
                    </a:xfrm>
                    <a:prstGeom prst="rect">
                      <a:avLst/>
                    </a:prstGeom>
                    <a:noFill/>
                  </pic:spPr>
                </pic:pic>
              </a:graphicData>
            </a:graphic>
          </wp:anchor>
        </w:drawing>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SEQ CHAPTER \h \r 1</w:instrTex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b/>
          <w:bCs/>
          <w:sz w:val="24"/>
          <w:szCs w:val="24"/>
          <w:lang w:eastAsia="ru-RU"/>
        </w:rPr>
        <w:t>ФЕДЕРАЛЬНАЯ АНТИМОНОПОЛЬНАЯ СЛУЖБА</w:t>
      </w:r>
    </w:p>
    <w:p w14:paraId="6A785F54">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Управление по Кировской области</w:t>
      </w:r>
    </w:p>
    <w:p w14:paraId="53A6E53D">
      <w:pPr>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73025</wp:posOffset>
                </wp:positionV>
                <wp:extent cx="5943600" cy="0"/>
                <wp:effectExtent l="0" t="4445" r="0" b="5080"/>
                <wp:wrapNone/>
                <wp:docPr id="2" name="Line 2"/>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ln>
                        <a:effectLst/>
                      </wps:spPr>
                      <wps:bodyPr/>
                    </wps:wsp>
                  </a:graphicData>
                </a:graphic>
              </wp:anchor>
            </w:drawing>
          </mc:Choice>
          <mc:Fallback>
            <w:pict>
              <v:line id="Line 2" o:spid="_x0000_s1026" o:spt="20" style="position:absolute;left:0pt;margin-left:0pt;margin-top:5.75pt;height:0pt;width:468pt;z-index:251660288;mso-width-relative:page;mso-height-relative:page;" filled="f" stroked="t" coordsize="21600,21600" o:gfxdata="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ft7u7TAAAABgEAAA8AAAAAAAAAAQAgAAAAIgAAAGRycy9k&#10;b3ducmV2LnhtbFBLAQIUABQAAAAIAIdO4kCA2hHlzgEAAK0DAAAOAAAAAAAAAAEAIAAAACIBAABk&#10;cnMvZTJvRG9jLnhtbFBLBQYAAAAABgAGAFkBAABiBQAAAAA=&#10;">
                <v:fill on="f" focussize="0,0"/>
                <v:stroke color="#000000" joinstyle="round"/>
                <v:imagedata o:title=""/>
                <o:lock v:ext="edit" aspectratio="f"/>
              </v:line>
            </w:pict>
          </mc:Fallback>
        </mc:AlternateContent>
      </w:r>
    </w:p>
    <w:p w14:paraId="4B3DA46D">
      <w:pPr>
        <w:autoSpaceDE w:val="0"/>
        <w:autoSpaceDN w:val="0"/>
        <w:adjustRightInd w:val="0"/>
        <w:spacing w:after="0" w:line="240" w:lineRule="auto"/>
        <w:jc w:val="center"/>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610020 г. Киров, ул. Защитников Отечества, 55, тел: 64-73-31</w:t>
      </w:r>
      <w:bookmarkStart w:id="0" w:name="_GoBack"/>
      <w:bookmarkEnd w:id="0"/>
    </w:p>
    <w:p w14:paraId="2DA531BD">
      <w:pPr>
        <w:widowControl w:val="0"/>
        <w:spacing w:after="0" w:line="240" w:lineRule="auto"/>
        <w:rPr>
          <w:rFonts w:ascii="Times New Roman" w:hAnsi="Times New Roman" w:eastAsia="Times New Roman" w:cs="Times New Roman"/>
          <w:b/>
          <w:sz w:val="25"/>
          <w:szCs w:val="25"/>
          <w:lang w:eastAsia="ru-RU"/>
        </w:rPr>
      </w:pPr>
    </w:p>
    <w:p w14:paraId="02ABA67F">
      <w:pPr>
        <w:spacing w:after="0" w:line="240" w:lineRule="auto"/>
        <w:ind w:left="4820"/>
        <w:rPr>
          <w:rFonts w:ascii="Times New Roman" w:hAnsi="Times New Roman" w:eastAsia="Times New Roman" w:cs="Times New Roman"/>
          <w:lang w:eastAsia="ru-RU"/>
        </w:rPr>
      </w:pPr>
      <w:r>
        <w:rPr>
          <w:rFonts w:ascii="Times New Roman" w:hAnsi="Times New Roman" w:eastAsia="Times New Roman" w:cs="Times New Roman"/>
          <w:b/>
          <w:lang w:eastAsia="ru-RU"/>
        </w:rPr>
        <w:t>Заказчик</w:t>
      </w:r>
      <w:r>
        <w:rPr>
          <w:rFonts w:ascii="Times New Roman" w:hAnsi="Times New Roman" w:eastAsia="Times New Roman" w:cs="Times New Roman"/>
          <w:lang w:eastAsia="ru-RU"/>
        </w:rPr>
        <w:t xml:space="preserve"> – КИРОВСКОЕ ОБЛАСТНОЕ </w:t>
      </w:r>
    </w:p>
    <w:p w14:paraId="40697C76">
      <w:pPr>
        <w:spacing w:after="0" w:line="240" w:lineRule="auto"/>
        <w:ind w:left="4820"/>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ГОСУДАРСТВЕННОЕ БЮДЖЕТНОЕ </w:t>
      </w:r>
    </w:p>
    <w:p w14:paraId="1BD49635">
      <w:pPr>
        <w:spacing w:after="0" w:line="240" w:lineRule="auto"/>
        <w:ind w:left="4820"/>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УЧРЕЖДЕНИЕ ЗДРАВООХРАНЕНИЯ </w:t>
      </w:r>
    </w:p>
    <w:p w14:paraId="532D0631">
      <w:pPr>
        <w:spacing w:after="0" w:line="240" w:lineRule="auto"/>
        <w:ind w:left="4820"/>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"КИРОВСКАЯ ОБЛАСТНАЯ </w:t>
      </w:r>
    </w:p>
    <w:p w14:paraId="6080D29C">
      <w:pPr>
        <w:spacing w:after="0" w:line="240" w:lineRule="auto"/>
        <w:ind w:left="4820"/>
        <w:rPr>
          <w:rFonts w:ascii="Times New Roman" w:hAnsi="Times New Roman" w:eastAsia="Times New Roman" w:cs="Times New Roman"/>
          <w:lang w:eastAsia="ru-RU"/>
        </w:rPr>
      </w:pPr>
      <w:r>
        <w:rPr>
          <w:rFonts w:ascii="Times New Roman" w:hAnsi="Times New Roman" w:eastAsia="Times New Roman" w:cs="Times New Roman"/>
          <w:lang w:eastAsia="ru-RU"/>
        </w:rPr>
        <w:t>КЛИНИЧЕСКАЯ БОЛЬНИЦА"</w:t>
      </w:r>
    </w:p>
    <w:p w14:paraId="550A7C8A">
      <w:pPr>
        <w:spacing w:after="0" w:line="240" w:lineRule="auto"/>
        <w:ind w:left="4820"/>
        <w:rPr>
          <w:rFonts w:ascii="Times New Roman" w:hAnsi="Times New Roman" w:eastAsia="Times New Roman" w:cs="Times New Roman"/>
          <w:b/>
          <w:lang w:eastAsia="ru-RU"/>
        </w:rPr>
      </w:pPr>
      <w:r>
        <w:rPr>
          <w:rFonts w:ascii="Times New Roman" w:hAnsi="Times New Roman" w:eastAsia="Times New Roman" w:cs="Times New Roman"/>
          <w:lang w:eastAsia="ru-RU"/>
        </w:rPr>
        <w:t>kokb@mail.ru, l-kme@mail.ru, kokbtorgi@mail.ru</w:t>
      </w:r>
    </w:p>
    <w:p w14:paraId="196C6D6D">
      <w:pPr>
        <w:spacing w:after="0" w:line="240" w:lineRule="auto"/>
        <w:ind w:left="4820" w:right="652"/>
        <w:jc w:val="both"/>
        <w:rPr>
          <w:rFonts w:ascii="Times New Roman" w:hAnsi="Times New Roman" w:eastAsia="Times New Roman" w:cs="Times New Roman"/>
          <w:b/>
          <w:lang w:eastAsia="ru-RU"/>
        </w:rPr>
      </w:pPr>
    </w:p>
    <w:p w14:paraId="3617F6CA">
      <w:pPr>
        <w:spacing w:after="0" w:line="240" w:lineRule="auto"/>
        <w:ind w:left="4820" w:right="652"/>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lang w:eastAsia="ru-RU"/>
        </w:rPr>
        <w:t>Победитель</w:t>
      </w:r>
      <w:r>
        <w:rPr>
          <w:rFonts w:ascii="Times New Roman" w:hAnsi="Times New Roman" w:eastAsia="Times New Roman" w:cs="Times New Roman"/>
          <w:lang w:eastAsia="ru-RU"/>
        </w:rPr>
        <w:t xml:space="preserve"> – ИП </w:t>
      </w:r>
    </w:p>
    <w:p w14:paraId="6CCB4272">
      <w:pPr>
        <w:spacing w:after="0" w:line="240" w:lineRule="auto"/>
        <w:jc w:val="center"/>
        <w:rPr>
          <w:rFonts w:ascii="Times New Roman" w:hAnsi="Times New Roman" w:eastAsia="Times New Roman" w:cs="Times New Roman"/>
          <w:b/>
          <w:bCs/>
          <w:sz w:val="24"/>
          <w:szCs w:val="24"/>
          <w:lang w:eastAsia="ru-RU"/>
        </w:rPr>
      </w:pPr>
    </w:p>
    <w:p w14:paraId="041B0A66">
      <w:pPr>
        <w:spacing w:after="0" w:line="240" w:lineRule="auto"/>
        <w:jc w:val="center"/>
        <w:rPr>
          <w:rFonts w:ascii="Times New Roman" w:hAnsi="Times New Roman" w:eastAsia="Times New Roman" w:cs="Times New Roman"/>
          <w:b/>
          <w:bCs/>
          <w:sz w:val="25"/>
          <w:szCs w:val="25"/>
          <w:lang w:eastAsia="ru-RU"/>
        </w:rPr>
      </w:pPr>
      <w:r>
        <w:rPr>
          <w:rFonts w:ascii="Times New Roman" w:hAnsi="Times New Roman" w:eastAsia="Times New Roman" w:cs="Times New Roman"/>
          <w:b/>
          <w:bCs/>
          <w:sz w:val="25"/>
          <w:szCs w:val="25"/>
          <w:lang w:eastAsia="ru-RU"/>
        </w:rPr>
        <w:t>Р</w:t>
      </w:r>
      <w:r>
        <w:rPr>
          <w:rFonts w:ascii="Times New Roman" w:hAnsi="Times New Roman" w:eastAsia="Times New Roman" w:cs="Times New Roman"/>
          <w:b/>
          <w:sz w:val="25"/>
          <w:szCs w:val="25"/>
          <w:lang w:eastAsia="ru-RU"/>
        </w:rPr>
        <w:t>ЕШЕНИЕ РНП № 043/10/104-1085/2025</w:t>
      </w:r>
      <w:r>
        <w:rPr>
          <w:rFonts w:ascii="Times New Roman" w:hAnsi="Times New Roman" w:eastAsia="Times New Roman" w:cs="Times New Roman"/>
          <w:b/>
          <w:sz w:val="25"/>
          <w:szCs w:val="25"/>
          <w:lang w:eastAsia="ru-RU"/>
        </w:rPr>
        <w:tab/>
      </w:r>
    </w:p>
    <w:p w14:paraId="42F2A9DE">
      <w:pPr>
        <w:widowControl w:val="0"/>
        <w:spacing w:after="0" w:line="240" w:lineRule="auto"/>
        <w:rPr>
          <w:rFonts w:ascii="Times New Roman" w:hAnsi="Times New Roman" w:eastAsia="Times New Roman" w:cs="Times New Roman"/>
          <w:b/>
          <w:sz w:val="25"/>
          <w:szCs w:val="25"/>
          <w:lang w:eastAsia="ru-RU"/>
        </w:rPr>
      </w:pPr>
    </w:p>
    <w:p w14:paraId="20B8F318">
      <w:pPr>
        <w:spacing w:after="0" w:line="240" w:lineRule="auto"/>
        <w:jc w:val="both"/>
        <w:rPr>
          <w:rFonts w:ascii="Times New Roman" w:hAnsi="Times New Roman" w:eastAsia="Times New Roman" w:cs="Times New Roman"/>
          <w:b/>
          <w:bCs/>
          <w:sz w:val="25"/>
          <w:szCs w:val="25"/>
          <w:lang w:eastAsia="ru-RU"/>
        </w:rPr>
      </w:pPr>
      <w:r>
        <w:rPr>
          <w:rFonts w:ascii="Times New Roman" w:hAnsi="Times New Roman" w:eastAsia="Times New Roman" w:cs="Times New Roman"/>
          <w:b/>
          <w:bCs/>
          <w:sz w:val="25"/>
          <w:szCs w:val="25"/>
          <w:lang w:eastAsia="ru-RU"/>
        </w:rPr>
        <w:t xml:space="preserve">«01» декабря 2025 года         </w:t>
      </w:r>
    </w:p>
    <w:p w14:paraId="5A6B59D4">
      <w:pPr>
        <w:spacing w:after="0" w:line="240" w:lineRule="auto"/>
        <w:jc w:val="both"/>
        <w:rPr>
          <w:rFonts w:ascii="Times New Roman" w:hAnsi="Times New Roman" w:eastAsia="Times New Roman" w:cs="Times New Roman"/>
          <w:b/>
          <w:bCs/>
          <w:sz w:val="25"/>
          <w:szCs w:val="25"/>
          <w:lang w:eastAsia="ru-RU"/>
        </w:rPr>
      </w:pPr>
    </w:p>
    <w:p w14:paraId="56B3B016">
      <w:pPr>
        <w:autoSpaceDE w:val="0"/>
        <w:autoSpaceDN w:val="0"/>
        <w:adjustRightInd w:val="0"/>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Комиссия Управления Федеральной антимонопольной службы по Кировской области по контролю закупок (далее – комиссия Кировского УФАС России) в составе:</w:t>
      </w:r>
    </w:p>
    <w:p w14:paraId="10ACD999">
      <w:pPr>
        <w:widowControl w:val="0"/>
        <w:autoSpaceDE w:val="0"/>
        <w:autoSpaceDN w:val="0"/>
        <w:adjustRightInd w:val="0"/>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Зам. председателя комиссии:</w:t>
      </w:r>
    </w:p>
    <w:p w14:paraId="243A5E2C">
      <w:pPr>
        <w:widowControl w:val="0"/>
        <w:autoSpaceDE w:val="0"/>
        <w:autoSpaceDN w:val="0"/>
        <w:adjustRightInd w:val="0"/>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зам. руководителя управления – начальника отдела контроля закупок Кировского УФАС России;</w:t>
      </w:r>
    </w:p>
    <w:p w14:paraId="26190904">
      <w:pPr>
        <w:widowControl w:val="0"/>
        <w:autoSpaceDE w:val="0"/>
        <w:autoSpaceDN w:val="0"/>
        <w:adjustRightInd w:val="0"/>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Членов комиссии:</w:t>
      </w:r>
    </w:p>
    <w:p w14:paraId="5E6B4401">
      <w:pPr>
        <w:widowControl w:val="0"/>
        <w:autoSpaceDE w:val="0"/>
        <w:autoSpaceDN w:val="0"/>
        <w:adjustRightInd w:val="0"/>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главного специалиста-эксперта отдела контроля закупок Кировского УФАС России;</w:t>
      </w:r>
    </w:p>
    <w:p w14:paraId="74753F2D">
      <w:pPr>
        <w:autoSpaceDE w:val="0"/>
        <w:autoSpaceDN w:val="0"/>
        <w:adjustRightInd w:val="0"/>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 ведущего специалиста-эксперта отдела контроля закупок Кировского УФАС России;   </w:t>
      </w:r>
    </w:p>
    <w:p w14:paraId="69B75EC0">
      <w:pPr>
        <w:autoSpaceDE w:val="0"/>
        <w:autoSpaceDN w:val="0"/>
        <w:adjustRightInd w:val="0"/>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при участии посредством ВКС:</w:t>
      </w:r>
    </w:p>
    <w:p w14:paraId="1CED5E7E">
      <w:pPr>
        <w:autoSpaceDE w:val="0"/>
        <w:autoSpaceDN w:val="0"/>
        <w:adjustRightInd w:val="0"/>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 представителя </w:t>
      </w:r>
      <w:r>
        <w:rPr>
          <w:rFonts w:ascii="Times New Roman" w:hAnsi="Times New Roman" w:cs="Times New Roman"/>
          <w:sz w:val="25"/>
          <w:szCs w:val="25"/>
        </w:rPr>
        <w:t xml:space="preserve">ИП </w:t>
      </w:r>
      <w:r>
        <w:rPr>
          <w:rFonts w:ascii="Times New Roman" w:hAnsi="Times New Roman" w:eastAsia="Times New Roman" w:cs="Times New Roman"/>
          <w:sz w:val="25"/>
          <w:szCs w:val="25"/>
          <w:lang w:eastAsia="ru-RU"/>
        </w:rPr>
        <w:t>по доверенности;</w:t>
      </w:r>
    </w:p>
    <w:p w14:paraId="733D5FF4">
      <w:pPr>
        <w:autoSpaceDE w:val="0"/>
        <w:autoSpaceDN w:val="0"/>
        <w:adjustRightInd w:val="0"/>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рассмотрев материалы КОГБУЗ «Кировская областная клиническая больница» (далее – Заказчик) о включении сведений об </w:t>
      </w:r>
      <w:r>
        <w:rPr>
          <w:rFonts w:ascii="Times New Roman" w:hAnsi="Times New Roman" w:cs="Times New Roman"/>
          <w:sz w:val="25"/>
          <w:szCs w:val="25"/>
        </w:rPr>
        <w:t xml:space="preserve">ИП </w:t>
      </w:r>
      <w:r>
        <w:rPr>
          <w:rFonts w:ascii="Times New Roman" w:hAnsi="Times New Roman" w:eastAsia="Times New Roman" w:cs="Times New Roman"/>
          <w:snapToGrid w:val="0"/>
          <w:sz w:val="25"/>
          <w:szCs w:val="25"/>
          <w:lang w:eastAsia="ru-RU"/>
        </w:rPr>
        <w:t>(далее – Победитель, ИП) в Реестр недобросовестных поставщиков,</w:t>
      </w:r>
    </w:p>
    <w:p w14:paraId="324F2411">
      <w:pPr>
        <w:autoSpaceDE w:val="0"/>
        <w:autoSpaceDN w:val="0"/>
        <w:adjustRightInd w:val="0"/>
        <w:spacing w:after="0" w:line="240" w:lineRule="auto"/>
        <w:ind w:firstLine="567"/>
        <w:jc w:val="both"/>
        <w:rPr>
          <w:rFonts w:ascii="Times New Roman" w:hAnsi="Times New Roman" w:eastAsia="Times New Roman" w:cs="Times New Roman"/>
          <w:snapToGrid w:val="0"/>
          <w:color w:val="FF0000"/>
          <w:sz w:val="25"/>
          <w:szCs w:val="25"/>
          <w:lang w:eastAsia="ru-RU"/>
        </w:rPr>
      </w:pPr>
    </w:p>
    <w:p w14:paraId="4BC67B49">
      <w:pPr>
        <w:autoSpaceDE w:val="0"/>
        <w:autoSpaceDN w:val="0"/>
        <w:adjustRightInd w:val="0"/>
        <w:spacing w:after="0" w:line="240" w:lineRule="auto"/>
        <w:ind w:firstLine="654"/>
        <w:jc w:val="center"/>
        <w:rPr>
          <w:rFonts w:ascii="Times New Roman" w:hAnsi="Times New Roman" w:eastAsia="Times New Roman" w:cs="Times New Roman"/>
          <w:b/>
          <w:sz w:val="25"/>
          <w:szCs w:val="25"/>
          <w:lang w:eastAsia="ru-RU"/>
        </w:rPr>
      </w:pPr>
      <w:r>
        <w:rPr>
          <w:rFonts w:ascii="Times New Roman" w:hAnsi="Times New Roman" w:eastAsia="Times New Roman" w:cs="Times New Roman"/>
          <w:b/>
          <w:sz w:val="25"/>
          <w:szCs w:val="25"/>
          <w:lang w:eastAsia="ru-RU"/>
        </w:rPr>
        <w:t>УСТАНОВИЛА:</w:t>
      </w:r>
    </w:p>
    <w:p w14:paraId="01FE165A">
      <w:pPr>
        <w:autoSpaceDE w:val="0"/>
        <w:autoSpaceDN w:val="0"/>
        <w:adjustRightInd w:val="0"/>
        <w:spacing w:after="0" w:line="240" w:lineRule="auto"/>
        <w:ind w:firstLine="654"/>
        <w:jc w:val="both"/>
        <w:rPr>
          <w:rFonts w:ascii="Times New Roman" w:hAnsi="Times New Roman" w:eastAsia="Times New Roman" w:cs="Times New Roman"/>
          <w:b/>
          <w:sz w:val="25"/>
          <w:szCs w:val="25"/>
          <w:lang w:eastAsia="ru-RU"/>
        </w:rPr>
      </w:pPr>
    </w:p>
    <w:p w14:paraId="05CF2A2A">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25.11.2025 г. в Единой информационной системе в сфере закупок размещены материалы КОГБУЗ «Кировская областная клиническая больница» о включении сведений в Реестр недобросовестных поставщиков (подрядчиков, исполнителей) </w:t>
      </w:r>
      <w:r>
        <w:rPr>
          <w:rFonts w:ascii="Times New Roman" w:hAnsi="Times New Roman" w:cs="Times New Roman"/>
          <w:sz w:val="25"/>
          <w:szCs w:val="25"/>
        </w:rPr>
        <w:t xml:space="preserve">ИП </w:t>
      </w:r>
      <w:r>
        <w:rPr>
          <w:rFonts w:ascii="Times New Roman" w:hAnsi="Times New Roman" w:eastAsia="Times New Roman" w:cs="Times New Roman"/>
          <w:sz w:val="25"/>
          <w:szCs w:val="25"/>
          <w:lang w:eastAsia="ru-RU"/>
        </w:rPr>
        <w:t xml:space="preserve">в связи с уклонением от заключения контракта на поставку запасных частей для медицинского оборудования (извещение № 0340200003325014116). </w:t>
      </w:r>
    </w:p>
    <w:p w14:paraId="4542CAEE">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соответствии с ч. 7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данного материала назначено на 01.12.2025 г., в соответствии с п.п. «д» п. 9 Правил ведения реестра недобросовестных поставщиков (подрядчиков, исполнителей) (утв. Постановлением Правительства РФ от 30.06.2021 N 1078) (далее - Правила) стороны извещены надлежащим образом.</w:t>
      </w:r>
    </w:p>
    <w:p w14:paraId="2C20A593">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Согласно ч. 1 ст.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14:paraId="1986891C">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В силу ч. 7 ст.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 </w:t>
      </w:r>
    </w:p>
    <w:p w14:paraId="0F3B5774">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Согласно представленным документам Заказчика установлено, что Победитель электронного аукциона – </w:t>
      </w:r>
      <w:r>
        <w:rPr>
          <w:rFonts w:ascii="Times New Roman" w:hAnsi="Times New Roman" w:cs="Times New Roman"/>
          <w:sz w:val="25"/>
          <w:szCs w:val="25"/>
        </w:rPr>
        <w:t xml:space="preserve">ИП </w:t>
      </w:r>
      <w:r>
        <w:rPr>
          <w:rFonts w:ascii="Times New Roman" w:hAnsi="Times New Roman" w:eastAsia="Times New Roman" w:cs="Times New Roman"/>
          <w:sz w:val="25"/>
          <w:szCs w:val="25"/>
          <w:lang w:eastAsia="ru-RU"/>
        </w:rPr>
        <w:t xml:space="preserve">в регламентированный срок подписал проект контракта, не предоставил обеспечение исполнения контракта, в связи с чем, 25.11.2025 г. Заказчиком принято решение о признании ИП уклонившимся от заключения контракта. Заказчик просит рассмотреть материалы РНП в свое отсутствие. </w:t>
      </w:r>
    </w:p>
    <w:p w14:paraId="3CF02F79">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Представитель ИП подтвердил письменные пояснения, сообщил, что намерений уклоняться от заключения контракта у Победителя не было, обеспечение исполнения контракта не представлено из-за невнимательности и халатности ответственного лица, с данным лицом расторгнут договор об оказании услуг (договор от 03.11.2025 г., акт приема-передачи ЭЦП, уведомление ор расторжении от 25.11.2025 г.). Обладает всей необходимой материально-технической базой для надлежащего исполнения условий контракта, подтверждением этому служит наличие коммерческих предложений по поставке необходимых запасных частей</w:t>
      </w:r>
      <w:r>
        <w:rPr>
          <w:rFonts w:ascii="Times New Roman" w:hAnsi="Times New Roman" w:cs="Times New Roman"/>
          <w:sz w:val="25"/>
          <w:szCs w:val="25"/>
        </w:rPr>
        <w:t xml:space="preserve"> </w:t>
      </w:r>
      <w:r>
        <w:rPr>
          <w:rFonts w:ascii="Times New Roman" w:hAnsi="Times New Roman" w:eastAsia="Times New Roman" w:cs="Times New Roman"/>
          <w:sz w:val="25"/>
          <w:szCs w:val="25"/>
          <w:lang w:eastAsia="ru-RU"/>
        </w:rPr>
        <w:t>(коммерческое предложение от 23.10.2025 г. № 2310, от 29.09.2025 г. № 92). О сложившейся ситуации уведомил Заказчика (письмо от 25.11.2025 г. № 012), 25.11.2025 г. перечислил обеспечение исполнения контракта (платежное поручение № 168 от 25.11.2025 г.). Участник имеет опыт успешного исполнения государственных контрактов, о чем свидетельствует 20 записей в ЕИС о выполнении обязательств без претензий со стороны Заказчиков. Просит не включать сведения об ИП в реестр недобросовестных поставщиков (подрядчиков, исполнителей).</w:t>
      </w:r>
    </w:p>
    <w:p w14:paraId="21E28BA1">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результате осуществления проверки факта уклонения</w:t>
      </w:r>
      <w:r>
        <w:rPr>
          <w:rFonts w:ascii="Times New Roman" w:hAnsi="Times New Roman" w:cs="Times New Roman"/>
          <w:sz w:val="25"/>
          <w:szCs w:val="25"/>
        </w:rPr>
        <w:t xml:space="preserve"> ИП </w:t>
      </w:r>
      <w:r>
        <w:rPr>
          <w:rFonts w:ascii="Times New Roman" w:hAnsi="Times New Roman" w:eastAsia="Times New Roman" w:cs="Times New Roman"/>
          <w:sz w:val="25"/>
          <w:szCs w:val="25"/>
          <w:lang w:eastAsia="ru-RU"/>
        </w:rPr>
        <w:t>от заключения контракта установлено следующее.</w:t>
      </w:r>
    </w:p>
    <w:p w14:paraId="5C24587F">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30.10.2025 г. Заказчиком на официальном сайте закупок – zakupki.gov.ru размещено извещение № 0340200003325014116 на поставку запасных частей для медицинского оборудования. Начальная (максимальная) цена контракта – 384 000,00 руб. </w:t>
      </w:r>
    </w:p>
    <w:p w14:paraId="01E4DB6A">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извещении об осуществлении закупки преимущество в соответствии с ч. 3 ст. 30 Закона о контрактной системе не установлено.</w:t>
      </w:r>
    </w:p>
    <w:p w14:paraId="76C297CF">
      <w:pPr>
        <w:suppressAutoHyphens/>
        <w:snapToGrid w:val="0"/>
        <w:spacing w:after="0" w:line="100" w:lineRule="atLeast"/>
        <w:ind w:firstLine="567"/>
        <w:jc w:val="both"/>
        <w:textAlignment w:val="baseline"/>
        <w:rPr>
          <w:rFonts w:ascii="Times New Roman" w:hAnsi="Times New Roman" w:cs="Times New Roman"/>
          <w:sz w:val="25"/>
          <w:szCs w:val="25"/>
        </w:rPr>
      </w:pPr>
      <w:r>
        <w:rPr>
          <w:rFonts w:ascii="Times New Roman" w:hAnsi="Times New Roman" w:eastAsia="Times New Roman" w:cs="Times New Roman"/>
          <w:sz w:val="25"/>
          <w:szCs w:val="25"/>
          <w:lang w:eastAsia="ru-RU"/>
        </w:rPr>
        <w:t xml:space="preserve">Согласно протоколу подведения итогов определения поставщика (подрядчика, исполнителя) от 13.11.2025 №ИЭА1 по окончании срока подачи заявок подана только одна заявка на участие в закупке (п. 1 ч. 1 ст. 52 Закона № 44-ФЗ), заявка Победителя соответствует требованиям с ценовым предложением - 384 000,00 руб. </w:t>
      </w:r>
    </w:p>
    <w:p w14:paraId="7DD9FF55">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соответствии с п. 1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w:t>
      </w:r>
    </w:p>
    <w:p w14:paraId="0A53C89C">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17.11.2025 года Заказчиком размещен проект контракта без своей подписи и направлен Победителю электронного аукциона на подписание. Регламентированный срок для подписания контракта 24.11.2025 г. 23:59 ч.</w:t>
      </w:r>
    </w:p>
    <w:p w14:paraId="4F576285">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соответствии с п. 1 ч. 3 ст. 51 Закона о контрактной системе,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w:t>
      </w:r>
    </w:p>
    <w:p w14:paraId="6F87200E">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Согласно ч. 3 ст. 51 Закона о контрактной системе, не позднее пяти рабочих дней, следующих за днем размещения заказчиком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либо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При этом такой участник закупки в случаях, предусмотренных статьей 37 Закона о контрактной системе, одновременно представляет заказчику информацию и документы, предусмотренные статьей 37 Закона о контрактной системе.</w:t>
      </w:r>
    </w:p>
    <w:p w14:paraId="43422975">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соответствии с пунктом 2 части 4 статьи 51 Закона о контрактной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14:paraId="4F04BB2C">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Согласно части 5 статьи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w:t>
      </w:r>
    </w:p>
    <w:p w14:paraId="270E5774">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силу ч. 4 ст. 96 Закона о контрактной системе установлено,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w:t>
      </w:r>
    </w:p>
    <w:p w14:paraId="51B893D4">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силу ч. 5 ст. 96 Закона о контрактной системе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33B7085F">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Согласно п.п. «а» п. 2 ч. 6 ст. 51 Закона о контрактной системе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14F63E9B">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регламентированный законом срок 24.11.2025 г. ИП подписал проект контракта, однако</w:t>
      </w:r>
      <w:r>
        <w:rPr>
          <w:rFonts w:ascii="Times New Roman" w:hAnsi="Times New Roman" w:cs="Times New Roman"/>
          <w:sz w:val="25"/>
          <w:szCs w:val="25"/>
        </w:rPr>
        <w:t xml:space="preserve"> не представил обеспечение исполнения контракта</w:t>
      </w:r>
      <w:r>
        <w:rPr>
          <w:rFonts w:ascii="Times New Roman" w:hAnsi="Times New Roman" w:eastAsia="Times New Roman" w:cs="Times New Roman"/>
          <w:sz w:val="25"/>
          <w:szCs w:val="25"/>
          <w:lang w:eastAsia="ru-RU"/>
        </w:rPr>
        <w:t>,</w:t>
      </w:r>
      <w:r>
        <w:rPr>
          <w:rFonts w:ascii="Times New Roman" w:hAnsi="Times New Roman" w:cs="Times New Roman"/>
          <w:sz w:val="25"/>
          <w:szCs w:val="25"/>
        </w:rPr>
        <w:t xml:space="preserve"> </w:t>
      </w:r>
      <w:r>
        <w:rPr>
          <w:rFonts w:ascii="Times New Roman" w:hAnsi="Times New Roman" w:eastAsia="Times New Roman" w:cs="Times New Roman"/>
          <w:sz w:val="25"/>
          <w:szCs w:val="25"/>
          <w:lang w:eastAsia="ru-RU"/>
        </w:rPr>
        <w:t>указал реестровые номера контрактов, исполненных в течение 3-лет до даты подачи заявки, что не является надлежащим</w:t>
      </w:r>
      <w:r>
        <w:t xml:space="preserve"> </w:t>
      </w:r>
      <w:r>
        <w:rPr>
          <w:rFonts w:ascii="Times New Roman" w:hAnsi="Times New Roman" w:eastAsia="Times New Roman" w:cs="Times New Roman"/>
          <w:sz w:val="25"/>
          <w:szCs w:val="25"/>
          <w:lang w:eastAsia="ru-RU"/>
        </w:rPr>
        <w:t>обеспечением исполнения контракта.</w:t>
      </w:r>
    </w:p>
    <w:p w14:paraId="121C375A">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Таким образом, Заказчик 25.11.2025 г. признал Победителя электронного аукциона уклонившимся от заключения контракта (протокол признания участника уклонившимся от заключения контракта от 25.11.2025 №ППУ20_1).</w:t>
      </w:r>
    </w:p>
    <w:p w14:paraId="4B5464C7">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Согласно ч. 4 ст.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14:paraId="0BBD493E">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Информация, предусмотренная частью 4 статьи 104 Закона о контрактной системе, направлена Заказчиком в адрес Кировского УФАС России – 25.11.2025 г.</w:t>
      </w:r>
    </w:p>
    <w:p w14:paraId="09CDC091">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соответствии с ч. 2 ст. 104 Закона о контрактной системе информация об участниках закупок, уклонившихся от заключения контрактов, включается в реестр недобросовестных поставщиков.</w:t>
      </w:r>
    </w:p>
    <w:p w14:paraId="437114B9">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14:paraId="2A66C4BB">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Согласно Определению Высшего Арбитражного суда Российской Федерации от 12 июля 2013 г. N ВАС-8371/13, при рассмотрении вопроса о признании участника размещения заказа уклонившимся от заключения государственного контракта 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14:paraId="6E230EA0">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 соответствии с пунктами 8, 9 статьи 104 Закона о контрактной системе информация, содержащаяся в реестре недобросовестных поставщиков (подрядчиков, исполнителей),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14:paraId="50D103BD">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14:paraId="07BBAD2B">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14:paraId="337CF1BF">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14:paraId="61CB954C">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14:paraId="68E0D34D">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14:paraId="0E5A6F91">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14:paraId="28EB377B">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14:paraId="6BBE4FF3">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Согласно пп. б) п. 14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14:paraId="3857B0D2">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Комиссия Кировского УФАС России проанализировав письменные и устные пояснения, представленные документы: договор от 03.11.2025 г., акт приема-передачи ЭЦП, уведомление ор расторжении от 25.11.2025 г., коммерческое предложение от 23.10.2025 г. № 2310, от 29.09.2025 г. № 92, письмо от 25.11.2025 г. № 012, платежное поручение № 168 от 25.11.2025 г.), подписание контракта в регламентированный срок, указание реестровых номеров контрактов, исполненных в течение 3-лет до даты подачи заявки, приходит к выводу об отсутствии умысла у Победителя на уклонение от заключения контракта, обусловлено человеческим фактором, какого-либо намеренного характера в действиях Победителя Комиссией не установлено.</w:t>
      </w:r>
    </w:p>
    <w:p w14:paraId="2C0613BB">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Нарушение Победителем электронного аукциона своих обязательств по подписанию контракта при отсутствии недобросовестного поведения со стороны Общества, не может являться основанием для включения сведений о таком лице в Реестр недобросовестных поставщиков.</w:t>
      </w:r>
    </w:p>
    <w:p w14:paraId="0AA3BDED">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Согласно информации из ЕИС Общество имеет 14 исполненных контрактов. Кроме того, </w:t>
      </w:r>
      <w:r>
        <w:rPr>
          <w:rFonts w:ascii="Times New Roman" w:hAnsi="Times New Roman" w:cs="Times New Roman"/>
          <w:sz w:val="25"/>
          <w:szCs w:val="25"/>
        </w:rPr>
        <w:t xml:space="preserve">ИП </w:t>
      </w:r>
      <w:r>
        <w:rPr>
          <w:rFonts w:ascii="Times New Roman" w:hAnsi="Times New Roman" w:eastAsia="Times New Roman" w:cs="Times New Roman"/>
          <w:sz w:val="25"/>
          <w:szCs w:val="25"/>
          <w:lang w:eastAsia="ru-RU"/>
        </w:rPr>
        <w:t>является субъектом малого предпринимательства (микропредприятием), для которого участие в закупках представляет собой возможность стабильного продолжения осуществления предпринимательской деятельности, сохранив рабочие места.</w:t>
      </w:r>
    </w:p>
    <w:p w14:paraId="1D5CC35C">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Учитывая представленные документы, информацию и пояснения Победителя электронного аукциона, Кировское УФАС России считает возможным не включать сведения об ИП</w:t>
      </w:r>
      <w:r>
        <w:rPr>
          <w:rFonts w:ascii="Times New Roman" w:hAnsi="Times New Roman" w:cs="Times New Roman"/>
          <w:sz w:val="25"/>
          <w:szCs w:val="25"/>
        </w:rPr>
        <w:t xml:space="preserve"> </w:t>
      </w:r>
      <w:r>
        <w:rPr>
          <w:rFonts w:ascii="Times New Roman" w:hAnsi="Times New Roman" w:eastAsia="Times New Roman" w:cs="Times New Roman"/>
          <w:sz w:val="25"/>
          <w:szCs w:val="25"/>
          <w:lang w:eastAsia="ru-RU"/>
        </w:rPr>
        <w:t xml:space="preserve">в Реестр недобросовестных поставщиков.  </w:t>
      </w:r>
    </w:p>
    <w:p w14:paraId="2DC987CD">
      <w:pPr>
        <w:suppressAutoHyphens/>
        <w:snapToGrid w:val="0"/>
        <w:spacing w:after="0" w:line="100" w:lineRule="atLeast"/>
        <w:ind w:firstLine="567"/>
        <w:jc w:val="both"/>
        <w:textAlignment w:val="baseline"/>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Руководствуясь ст. 99, ст. 104 Федерального закона от 05.04.2013 N 44-ФЗ "О контрактной системе в сфере закупок товаров, работ, услуг для обеспечения государственных и муниципальных нужд" комиссия,  </w:t>
      </w:r>
    </w:p>
    <w:p w14:paraId="40146324">
      <w:pPr>
        <w:suppressAutoHyphens/>
        <w:snapToGrid w:val="0"/>
        <w:spacing w:after="0" w:line="100" w:lineRule="atLeast"/>
        <w:jc w:val="both"/>
        <w:textAlignment w:val="baseline"/>
        <w:rPr>
          <w:rFonts w:ascii="Times New Roman" w:hAnsi="Times New Roman" w:eastAsia="Times New Roman" w:cs="Times New Roman"/>
          <w:sz w:val="25"/>
          <w:szCs w:val="25"/>
          <w:lang w:eastAsia="ru-RU"/>
        </w:rPr>
      </w:pPr>
    </w:p>
    <w:p w14:paraId="00F454C8">
      <w:pPr>
        <w:autoSpaceDE w:val="0"/>
        <w:autoSpaceDN w:val="0"/>
        <w:adjustRightInd w:val="0"/>
        <w:spacing w:after="0" w:line="240" w:lineRule="auto"/>
        <w:jc w:val="center"/>
        <w:rPr>
          <w:rFonts w:ascii="Times New Roman" w:hAnsi="Times New Roman" w:eastAsia="Times New Roman" w:cs="Times New Roman"/>
          <w:b/>
          <w:bCs/>
          <w:sz w:val="25"/>
          <w:szCs w:val="25"/>
          <w:lang w:eastAsia="ru-RU"/>
        </w:rPr>
      </w:pPr>
      <w:r>
        <w:rPr>
          <w:rFonts w:ascii="Times New Roman" w:hAnsi="Times New Roman" w:eastAsia="Times New Roman" w:cs="Times New Roman"/>
          <w:b/>
          <w:bCs/>
          <w:sz w:val="25"/>
          <w:szCs w:val="25"/>
          <w:lang w:eastAsia="ru-RU"/>
        </w:rPr>
        <w:t>РЕШИЛА:</w:t>
      </w:r>
    </w:p>
    <w:p w14:paraId="3B731E85">
      <w:pPr>
        <w:tabs>
          <w:tab w:val="left" w:pos="3281"/>
        </w:tabs>
        <w:spacing w:after="0" w:line="240" w:lineRule="auto"/>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ab/>
      </w:r>
    </w:p>
    <w:p w14:paraId="718EB230">
      <w:pPr>
        <w:spacing w:after="0" w:line="240" w:lineRule="auto"/>
        <w:ind w:firstLine="567"/>
        <w:jc w:val="both"/>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 xml:space="preserve">Сведения, представленные КОГБУЗ «Кировская областная клиническая больница» в связи с уклонением </w:t>
      </w:r>
      <w:r>
        <w:rPr>
          <w:rFonts w:ascii="Times New Roman" w:hAnsi="Times New Roman" w:cs="Times New Roman"/>
          <w:sz w:val="25"/>
          <w:szCs w:val="25"/>
        </w:rPr>
        <w:t xml:space="preserve">ИП </w:t>
      </w:r>
      <w:r>
        <w:rPr>
          <w:rFonts w:ascii="Times New Roman" w:hAnsi="Times New Roman" w:eastAsia="Times New Roman" w:cs="Times New Roman"/>
          <w:sz w:val="25"/>
          <w:szCs w:val="25"/>
          <w:lang w:eastAsia="ru-RU"/>
        </w:rPr>
        <w:t xml:space="preserve">от заключения контракта на поставку запасных частей для медицинского оборудования (извещение № 0340200003325014116), в Реестр недобросовестных поставщиков (подрядчиков, исполнителей) не включать. </w:t>
      </w:r>
    </w:p>
    <w:p w14:paraId="050298AE">
      <w:pPr>
        <w:spacing w:after="0" w:line="240" w:lineRule="auto"/>
        <w:jc w:val="both"/>
        <w:rPr>
          <w:rFonts w:ascii="Times New Roman" w:hAnsi="Times New Roman" w:eastAsia="Times New Roman" w:cs="Times New Roman"/>
          <w:sz w:val="24"/>
          <w:szCs w:val="24"/>
          <w:lang w:eastAsia="ru-RU"/>
        </w:rPr>
      </w:pPr>
    </w:p>
    <w:p w14:paraId="33E4C015">
      <w:pPr>
        <w:spacing w:after="0" w:line="240" w:lineRule="auto"/>
        <w:ind w:firstLine="567"/>
        <w:jc w:val="both"/>
        <w:rPr>
          <w:rFonts w:ascii="Times New Roman" w:hAnsi="Times New Roman" w:eastAsia="Times New Roman" w:cs="Times New Roman"/>
          <w:i/>
          <w:sz w:val="20"/>
          <w:szCs w:val="25"/>
          <w:lang w:eastAsia="ru-RU"/>
        </w:rPr>
      </w:pPr>
      <w:r>
        <w:rPr>
          <w:rFonts w:ascii="Times New Roman" w:hAnsi="Times New Roman" w:eastAsia="Times New Roman" w:cs="Times New Roman"/>
          <w:i/>
          <w:sz w:val="20"/>
          <w:szCs w:val="25"/>
          <w:lang w:eastAsia="ru-RU"/>
        </w:rPr>
        <w:t xml:space="preserve">В соответствии с ч. 11 ст. 104 </w:t>
      </w:r>
      <w:r>
        <w:rPr>
          <w:rFonts w:ascii="Times New Roman" w:hAnsi="Times New Roman" w:eastAsia="Times New Roman" w:cs="Times New Roman"/>
          <w:iCs/>
          <w:sz w:val="20"/>
          <w:szCs w:val="25"/>
          <w:lang w:eastAsia="ru-RU"/>
        </w:rPr>
        <w:t>ФЗ</w:t>
      </w:r>
      <w:r>
        <w:rPr>
          <w:rFonts w:ascii="Times New Roman" w:hAnsi="Times New Roman" w:eastAsia="Times New Roman" w:cs="Times New Roman"/>
          <w:i/>
          <w:sz w:val="20"/>
          <w:szCs w:val="25"/>
          <w:lang w:eastAsia="ru-RU"/>
        </w:rPr>
        <w:t xml:space="preserve"> от 05.04.2013 г. № 44-ФЗ «О контрактной системе в сфере закупок товаров, работ, услуг для обеспечения государственных и муниципальных нужд» Решение может быть обжаловано в судебном порядке в течение трех месяцев со дня его принятия.</w:t>
      </w:r>
    </w:p>
    <w:p w14:paraId="6B0E3E13">
      <w:pPr>
        <w:spacing w:after="0" w:line="240" w:lineRule="auto"/>
        <w:jc w:val="both"/>
        <w:rPr>
          <w:rFonts w:ascii="Times New Roman" w:hAnsi="Times New Roman" w:eastAsia="Times New Roman" w:cs="Times New Roman"/>
          <w:iCs/>
          <w:sz w:val="25"/>
          <w:szCs w:val="25"/>
          <w:lang w:eastAsia="ru-RU"/>
        </w:rPr>
      </w:pPr>
    </w:p>
    <w:p w14:paraId="11C4EAE0">
      <w:pPr>
        <w:autoSpaceDE w:val="0"/>
        <w:autoSpaceDN w:val="0"/>
        <w:adjustRightInd w:val="0"/>
        <w:spacing w:after="0" w:line="240" w:lineRule="auto"/>
        <w:ind w:firstLine="567"/>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Зам. председателя комиссии</w:t>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p>
    <w:p w14:paraId="49F0EBB0">
      <w:pPr>
        <w:autoSpaceDE w:val="0"/>
        <w:autoSpaceDN w:val="0"/>
        <w:adjustRightInd w:val="0"/>
        <w:spacing w:after="0" w:line="240" w:lineRule="auto"/>
        <w:ind w:firstLine="567"/>
        <w:rPr>
          <w:rFonts w:ascii="Times New Roman" w:hAnsi="Times New Roman" w:eastAsia="Times New Roman" w:cs="Times New Roman"/>
          <w:sz w:val="25"/>
          <w:szCs w:val="25"/>
          <w:lang w:eastAsia="ru-RU"/>
        </w:rPr>
      </w:pPr>
      <w:r>
        <w:rPr>
          <w:rFonts w:ascii="Times New Roman" w:hAnsi="Times New Roman" w:eastAsia="Times New Roman" w:cs="Times New Roman"/>
          <w:sz w:val="25"/>
          <w:szCs w:val="25"/>
          <w:lang w:eastAsia="ru-RU"/>
        </w:rPr>
        <w:t>Члены комиссии</w:t>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r>
        <w:rPr>
          <w:rFonts w:ascii="Times New Roman" w:hAnsi="Times New Roman" w:eastAsia="Times New Roman" w:cs="Times New Roman"/>
          <w:sz w:val="25"/>
          <w:szCs w:val="25"/>
          <w:lang w:eastAsia="ru-RU"/>
        </w:rPr>
        <w:tab/>
      </w:r>
    </w:p>
    <w:p w14:paraId="7249C694">
      <w:pPr>
        <w:spacing w:before="100" w:beforeAutospacing="1" w:after="100" w:afterAutospacing="1" w:line="240" w:lineRule="auto"/>
        <w:ind w:right="510"/>
        <w:rPr>
          <w:rFonts w:ascii="Times New Roman" w:hAnsi="Times New Roman" w:eastAsia="Times New Roman" w:cs="Times New Roman"/>
          <w:sz w:val="25"/>
          <w:szCs w:val="25"/>
          <w:lang w:eastAsia="ru-RU"/>
        </w:rPr>
      </w:pPr>
    </w:p>
    <w:p w14:paraId="1328A85B">
      <w:pPr>
        <w:spacing w:after="0" w:line="240" w:lineRule="auto"/>
        <w:rPr>
          <w:rFonts w:ascii="Times New Roman" w:hAnsi="Times New Roman" w:eastAsia="Times New Roman" w:cs="Times New Roman"/>
          <w:sz w:val="25"/>
          <w:szCs w:val="25"/>
          <w:lang w:eastAsia="ru-RU"/>
        </w:rPr>
      </w:pPr>
    </w:p>
    <w:p w14:paraId="5242EFEE">
      <w:pPr>
        <w:spacing w:after="0" w:line="240" w:lineRule="auto"/>
        <w:jc w:val="both"/>
        <w:rPr>
          <w:rFonts w:ascii="Times New Roman" w:hAnsi="Times New Roman" w:eastAsia="Times New Roman" w:cs="Times New Roman"/>
          <w:sz w:val="25"/>
          <w:szCs w:val="25"/>
          <w:lang w:eastAsia="ru-RU"/>
        </w:rPr>
      </w:pPr>
    </w:p>
    <w:p w14:paraId="77E69B66">
      <w:pPr>
        <w:spacing w:after="0" w:line="240" w:lineRule="auto"/>
        <w:jc w:val="both"/>
        <w:rPr>
          <w:rFonts w:ascii="Times New Roman" w:hAnsi="Times New Roman" w:eastAsia="Times New Roman" w:cs="Times New Roman"/>
          <w:sz w:val="25"/>
          <w:szCs w:val="25"/>
          <w:lang w:eastAsia="ru-RU"/>
        </w:rPr>
      </w:pPr>
    </w:p>
    <w:p w14:paraId="094A6895">
      <w:pPr>
        <w:spacing w:after="0" w:line="240" w:lineRule="auto"/>
        <w:jc w:val="both"/>
        <w:rPr>
          <w:rFonts w:ascii="Times New Roman" w:hAnsi="Times New Roman" w:eastAsia="Times New Roman" w:cs="Times New Roman"/>
          <w:sz w:val="25"/>
          <w:szCs w:val="25"/>
          <w:lang w:eastAsia="ru-RU"/>
        </w:rPr>
      </w:pPr>
    </w:p>
    <w:p w14:paraId="45BE0504">
      <w:pPr>
        <w:spacing w:after="0" w:line="240" w:lineRule="auto"/>
        <w:jc w:val="both"/>
        <w:rPr>
          <w:rFonts w:ascii="Times New Roman" w:hAnsi="Times New Roman" w:eastAsia="Times New Roman" w:cs="Times New Roman"/>
          <w:sz w:val="25"/>
          <w:szCs w:val="25"/>
          <w:lang w:eastAsia="ru-RU"/>
        </w:rPr>
      </w:pPr>
    </w:p>
    <w:p w14:paraId="38BD0374">
      <w:pPr>
        <w:spacing w:after="0" w:line="240" w:lineRule="auto"/>
        <w:jc w:val="both"/>
        <w:rPr>
          <w:rFonts w:ascii="Times New Roman" w:hAnsi="Times New Roman" w:eastAsia="Times New Roman" w:cs="Times New Roman"/>
          <w:sz w:val="25"/>
          <w:szCs w:val="25"/>
          <w:lang w:eastAsia="ru-RU"/>
        </w:rPr>
      </w:pPr>
    </w:p>
    <w:sectPr>
      <w:headerReference r:id="rId5" w:type="default"/>
      <w:pgSz w:w="11906" w:h="16838"/>
      <w:pgMar w:top="902" w:right="680" w:bottom="851" w:left="1361" w:header="284" w:footer="0" w:gutter="0"/>
      <w:cols w:space="708"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等线">
    <w:altName w:val="Arial Unicode MS"/>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96AD3">
    <w:pPr>
      <w:pStyle w:val="6"/>
      <w:jc w:val="center"/>
      <w:rPr>
        <w:sz w:val="24"/>
      </w:rPr>
    </w:pP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p>
  <w:p w14:paraId="68F7BE75">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E3D"/>
    <w:rsid w:val="00006CA3"/>
    <w:rsid w:val="00020977"/>
    <w:rsid w:val="000233EE"/>
    <w:rsid w:val="000368E5"/>
    <w:rsid w:val="0005023A"/>
    <w:rsid w:val="00062C15"/>
    <w:rsid w:val="00073945"/>
    <w:rsid w:val="0007532C"/>
    <w:rsid w:val="00077C92"/>
    <w:rsid w:val="0009462D"/>
    <w:rsid w:val="000B005E"/>
    <w:rsid w:val="000B498E"/>
    <w:rsid w:val="000C2C8A"/>
    <w:rsid w:val="000C7A7E"/>
    <w:rsid w:val="000D444B"/>
    <w:rsid w:val="000D7F0C"/>
    <w:rsid w:val="000E03AE"/>
    <w:rsid w:val="00100C91"/>
    <w:rsid w:val="00101B8C"/>
    <w:rsid w:val="0010343F"/>
    <w:rsid w:val="001035D9"/>
    <w:rsid w:val="00114EFB"/>
    <w:rsid w:val="00115BFC"/>
    <w:rsid w:val="00133531"/>
    <w:rsid w:val="00141644"/>
    <w:rsid w:val="00143582"/>
    <w:rsid w:val="00145DE6"/>
    <w:rsid w:val="00150267"/>
    <w:rsid w:val="0015668D"/>
    <w:rsid w:val="00160BA5"/>
    <w:rsid w:val="00183691"/>
    <w:rsid w:val="0019348B"/>
    <w:rsid w:val="001B13F5"/>
    <w:rsid w:val="001C6A1D"/>
    <w:rsid w:val="001E5F86"/>
    <w:rsid w:val="0022281B"/>
    <w:rsid w:val="00240BDB"/>
    <w:rsid w:val="0024108C"/>
    <w:rsid w:val="00244C5F"/>
    <w:rsid w:val="00261E37"/>
    <w:rsid w:val="0026489B"/>
    <w:rsid w:val="002821AC"/>
    <w:rsid w:val="00283DBE"/>
    <w:rsid w:val="002B0281"/>
    <w:rsid w:val="002C5D13"/>
    <w:rsid w:val="002E3D7A"/>
    <w:rsid w:val="002E6A38"/>
    <w:rsid w:val="0030724A"/>
    <w:rsid w:val="0032582A"/>
    <w:rsid w:val="00337913"/>
    <w:rsid w:val="003443D8"/>
    <w:rsid w:val="00356A8C"/>
    <w:rsid w:val="003624F1"/>
    <w:rsid w:val="00381919"/>
    <w:rsid w:val="003A3E3D"/>
    <w:rsid w:val="003C700A"/>
    <w:rsid w:val="003D388F"/>
    <w:rsid w:val="003E00DC"/>
    <w:rsid w:val="003E699D"/>
    <w:rsid w:val="004036CA"/>
    <w:rsid w:val="00404214"/>
    <w:rsid w:val="004115B9"/>
    <w:rsid w:val="004464C4"/>
    <w:rsid w:val="00446B0E"/>
    <w:rsid w:val="004475E8"/>
    <w:rsid w:val="00461826"/>
    <w:rsid w:val="004625BA"/>
    <w:rsid w:val="00464845"/>
    <w:rsid w:val="004652D6"/>
    <w:rsid w:val="00475B21"/>
    <w:rsid w:val="00477A6B"/>
    <w:rsid w:val="0048106F"/>
    <w:rsid w:val="004928A0"/>
    <w:rsid w:val="00495CDD"/>
    <w:rsid w:val="004A3A2B"/>
    <w:rsid w:val="004C2337"/>
    <w:rsid w:val="004C31FA"/>
    <w:rsid w:val="004C523B"/>
    <w:rsid w:val="004D4918"/>
    <w:rsid w:val="004F6395"/>
    <w:rsid w:val="005018D5"/>
    <w:rsid w:val="005151D5"/>
    <w:rsid w:val="005342B1"/>
    <w:rsid w:val="005410C9"/>
    <w:rsid w:val="00541D44"/>
    <w:rsid w:val="0054335D"/>
    <w:rsid w:val="00546E31"/>
    <w:rsid w:val="00570AD5"/>
    <w:rsid w:val="00577428"/>
    <w:rsid w:val="00587D8D"/>
    <w:rsid w:val="0059248B"/>
    <w:rsid w:val="00592641"/>
    <w:rsid w:val="005A768A"/>
    <w:rsid w:val="005B06AF"/>
    <w:rsid w:val="005B2AC6"/>
    <w:rsid w:val="005B4494"/>
    <w:rsid w:val="005B7E87"/>
    <w:rsid w:val="005C3A12"/>
    <w:rsid w:val="005C664A"/>
    <w:rsid w:val="005D2EFA"/>
    <w:rsid w:val="005E251A"/>
    <w:rsid w:val="005E43E6"/>
    <w:rsid w:val="005E708A"/>
    <w:rsid w:val="005F1F94"/>
    <w:rsid w:val="005F3EB3"/>
    <w:rsid w:val="00605340"/>
    <w:rsid w:val="006139A3"/>
    <w:rsid w:val="006166DD"/>
    <w:rsid w:val="00620A20"/>
    <w:rsid w:val="00622813"/>
    <w:rsid w:val="00635472"/>
    <w:rsid w:val="00636505"/>
    <w:rsid w:val="0063662F"/>
    <w:rsid w:val="00651A9B"/>
    <w:rsid w:val="00674A57"/>
    <w:rsid w:val="00677229"/>
    <w:rsid w:val="006802AD"/>
    <w:rsid w:val="00683E59"/>
    <w:rsid w:val="00697549"/>
    <w:rsid w:val="006B2489"/>
    <w:rsid w:val="006C1117"/>
    <w:rsid w:val="006C7A58"/>
    <w:rsid w:val="006E01DB"/>
    <w:rsid w:val="006E4A82"/>
    <w:rsid w:val="00700483"/>
    <w:rsid w:val="0073605A"/>
    <w:rsid w:val="007425F1"/>
    <w:rsid w:val="007612C4"/>
    <w:rsid w:val="00763D39"/>
    <w:rsid w:val="007835EC"/>
    <w:rsid w:val="00786F8C"/>
    <w:rsid w:val="00794596"/>
    <w:rsid w:val="007A3E97"/>
    <w:rsid w:val="007B74E9"/>
    <w:rsid w:val="007C08B9"/>
    <w:rsid w:val="007D6B10"/>
    <w:rsid w:val="007E1B56"/>
    <w:rsid w:val="007E319F"/>
    <w:rsid w:val="007E5185"/>
    <w:rsid w:val="007E7ECD"/>
    <w:rsid w:val="008061FA"/>
    <w:rsid w:val="00836AEC"/>
    <w:rsid w:val="00837013"/>
    <w:rsid w:val="0084217C"/>
    <w:rsid w:val="008435C4"/>
    <w:rsid w:val="00883A9A"/>
    <w:rsid w:val="008840CE"/>
    <w:rsid w:val="0088502A"/>
    <w:rsid w:val="00897C26"/>
    <w:rsid w:val="008B194B"/>
    <w:rsid w:val="008C07A6"/>
    <w:rsid w:val="008C1026"/>
    <w:rsid w:val="008C263D"/>
    <w:rsid w:val="008D1290"/>
    <w:rsid w:val="008D1599"/>
    <w:rsid w:val="008D562C"/>
    <w:rsid w:val="008D56DA"/>
    <w:rsid w:val="009077E2"/>
    <w:rsid w:val="009216D3"/>
    <w:rsid w:val="00926EF7"/>
    <w:rsid w:val="0094103D"/>
    <w:rsid w:val="009436ED"/>
    <w:rsid w:val="00961324"/>
    <w:rsid w:val="009721E5"/>
    <w:rsid w:val="00977A83"/>
    <w:rsid w:val="00991183"/>
    <w:rsid w:val="00994EDC"/>
    <w:rsid w:val="009973BD"/>
    <w:rsid w:val="009A0FC1"/>
    <w:rsid w:val="009A2D28"/>
    <w:rsid w:val="009B66C7"/>
    <w:rsid w:val="009C16A5"/>
    <w:rsid w:val="009C745A"/>
    <w:rsid w:val="009D22E9"/>
    <w:rsid w:val="009D2C53"/>
    <w:rsid w:val="009D7D18"/>
    <w:rsid w:val="009E46E9"/>
    <w:rsid w:val="009E69C2"/>
    <w:rsid w:val="00A13E3B"/>
    <w:rsid w:val="00A25E28"/>
    <w:rsid w:val="00A266B0"/>
    <w:rsid w:val="00A4004A"/>
    <w:rsid w:val="00A61549"/>
    <w:rsid w:val="00A618EF"/>
    <w:rsid w:val="00A657C3"/>
    <w:rsid w:val="00A744C7"/>
    <w:rsid w:val="00A8345D"/>
    <w:rsid w:val="00A83C17"/>
    <w:rsid w:val="00A91B81"/>
    <w:rsid w:val="00A93F94"/>
    <w:rsid w:val="00A94AD6"/>
    <w:rsid w:val="00AB03B3"/>
    <w:rsid w:val="00AB6F04"/>
    <w:rsid w:val="00AB7CBA"/>
    <w:rsid w:val="00AC72B6"/>
    <w:rsid w:val="00AD1699"/>
    <w:rsid w:val="00AD2132"/>
    <w:rsid w:val="00AE4101"/>
    <w:rsid w:val="00AE54FC"/>
    <w:rsid w:val="00AE7D85"/>
    <w:rsid w:val="00AF0982"/>
    <w:rsid w:val="00AF10C6"/>
    <w:rsid w:val="00AF4E33"/>
    <w:rsid w:val="00B248B7"/>
    <w:rsid w:val="00B27572"/>
    <w:rsid w:val="00B3542A"/>
    <w:rsid w:val="00B404D0"/>
    <w:rsid w:val="00B42639"/>
    <w:rsid w:val="00B65E7A"/>
    <w:rsid w:val="00B71399"/>
    <w:rsid w:val="00B81157"/>
    <w:rsid w:val="00B90FFF"/>
    <w:rsid w:val="00B94F1C"/>
    <w:rsid w:val="00BB1A4F"/>
    <w:rsid w:val="00BB7BDC"/>
    <w:rsid w:val="00BC739E"/>
    <w:rsid w:val="00BD48B6"/>
    <w:rsid w:val="00BF2226"/>
    <w:rsid w:val="00BF7423"/>
    <w:rsid w:val="00C079FF"/>
    <w:rsid w:val="00C160D5"/>
    <w:rsid w:val="00C21E21"/>
    <w:rsid w:val="00C23DB8"/>
    <w:rsid w:val="00C30CCD"/>
    <w:rsid w:val="00C32383"/>
    <w:rsid w:val="00C50743"/>
    <w:rsid w:val="00C61C88"/>
    <w:rsid w:val="00C714E1"/>
    <w:rsid w:val="00C72CC7"/>
    <w:rsid w:val="00C75848"/>
    <w:rsid w:val="00C75DFF"/>
    <w:rsid w:val="00C811F9"/>
    <w:rsid w:val="00C830EB"/>
    <w:rsid w:val="00CA29C5"/>
    <w:rsid w:val="00CA5CD7"/>
    <w:rsid w:val="00CA6576"/>
    <w:rsid w:val="00CA7310"/>
    <w:rsid w:val="00CD1F4E"/>
    <w:rsid w:val="00CD32D9"/>
    <w:rsid w:val="00CE30E8"/>
    <w:rsid w:val="00CE56CD"/>
    <w:rsid w:val="00CF70A0"/>
    <w:rsid w:val="00CF790B"/>
    <w:rsid w:val="00D2089B"/>
    <w:rsid w:val="00D44B14"/>
    <w:rsid w:val="00D4739D"/>
    <w:rsid w:val="00D76876"/>
    <w:rsid w:val="00D85F3B"/>
    <w:rsid w:val="00D964CE"/>
    <w:rsid w:val="00DB3396"/>
    <w:rsid w:val="00DC2E0E"/>
    <w:rsid w:val="00DC3A15"/>
    <w:rsid w:val="00DC632B"/>
    <w:rsid w:val="00DD08DD"/>
    <w:rsid w:val="00DD26BE"/>
    <w:rsid w:val="00DD498C"/>
    <w:rsid w:val="00DD795F"/>
    <w:rsid w:val="00DE33A8"/>
    <w:rsid w:val="00DF0D5F"/>
    <w:rsid w:val="00DF377B"/>
    <w:rsid w:val="00DF3FCB"/>
    <w:rsid w:val="00DF5D2F"/>
    <w:rsid w:val="00DF6B17"/>
    <w:rsid w:val="00E0389B"/>
    <w:rsid w:val="00E37800"/>
    <w:rsid w:val="00E45B4F"/>
    <w:rsid w:val="00E47682"/>
    <w:rsid w:val="00E637BA"/>
    <w:rsid w:val="00E84850"/>
    <w:rsid w:val="00EA0EA2"/>
    <w:rsid w:val="00EA62E4"/>
    <w:rsid w:val="00EB1E71"/>
    <w:rsid w:val="00ED3E7D"/>
    <w:rsid w:val="00EE4831"/>
    <w:rsid w:val="00F03E7B"/>
    <w:rsid w:val="00F047E1"/>
    <w:rsid w:val="00F156DE"/>
    <w:rsid w:val="00F41D0E"/>
    <w:rsid w:val="00F43E21"/>
    <w:rsid w:val="00F50C24"/>
    <w:rsid w:val="00F53232"/>
    <w:rsid w:val="00F60414"/>
    <w:rsid w:val="00F622F3"/>
    <w:rsid w:val="00F62DE9"/>
    <w:rsid w:val="00F71A43"/>
    <w:rsid w:val="00F8519E"/>
    <w:rsid w:val="00F87D62"/>
    <w:rsid w:val="00FA2D28"/>
    <w:rsid w:val="00FA698E"/>
    <w:rsid w:val="00FB587E"/>
    <w:rsid w:val="00FC2DC9"/>
    <w:rsid w:val="00FE56EE"/>
    <w:rsid w:val="00FF29DA"/>
    <w:rsid w:val="75031F6C"/>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563C1" w:themeColor="hyperlink"/>
      <w:u w:val="single"/>
    </w:rPr>
  </w:style>
  <w:style w:type="paragraph" w:styleId="5">
    <w:name w:val="Balloon Text"/>
    <w:basedOn w:val="1"/>
    <w:link w:val="8"/>
    <w:semiHidden/>
    <w:unhideWhenUsed/>
    <w:uiPriority w:val="99"/>
    <w:pPr>
      <w:spacing w:after="0" w:line="240" w:lineRule="auto"/>
    </w:pPr>
    <w:rPr>
      <w:rFonts w:ascii="Segoe UI" w:hAnsi="Segoe UI" w:cs="Segoe UI"/>
      <w:sz w:val="18"/>
      <w:szCs w:val="18"/>
    </w:rPr>
  </w:style>
  <w:style w:type="paragraph" w:styleId="6">
    <w:name w:val="header"/>
    <w:basedOn w:val="1"/>
    <w:link w:val="7"/>
    <w:unhideWhenUsed/>
    <w:uiPriority w:val="99"/>
    <w:pPr>
      <w:tabs>
        <w:tab w:val="center" w:pos="4677"/>
        <w:tab w:val="right" w:pos="9355"/>
      </w:tabs>
      <w:spacing w:after="0" w:line="240" w:lineRule="auto"/>
    </w:pPr>
    <w:rPr>
      <w:rFonts w:ascii="Times New Roman" w:hAnsi="Times New Roman" w:eastAsia="Times New Roman" w:cs="Times New Roman"/>
      <w:sz w:val="28"/>
      <w:szCs w:val="24"/>
      <w:lang w:eastAsia="ru-RU"/>
    </w:rPr>
  </w:style>
  <w:style w:type="character" w:customStyle="1" w:styleId="7">
    <w:name w:val="Верхний колонтитул Знак"/>
    <w:basedOn w:val="2"/>
    <w:link w:val="6"/>
    <w:qFormat/>
    <w:uiPriority w:val="99"/>
    <w:rPr>
      <w:rFonts w:ascii="Times New Roman" w:hAnsi="Times New Roman" w:eastAsia="Times New Roman" w:cs="Times New Roman"/>
      <w:sz w:val="28"/>
      <w:szCs w:val="24"/>
      <w:lang w:eastAsia="ru-RU"/>
    </w:rPr>
  </w:style>
  <w:style w:type="character" w:customStyle="1" w:styleId="8">
    <w:name w:val="Текст выноски Знак"/>
    <w:basedOn w:val="2"/>
    <w:link w:val="5"/>
    <w:semiHidden/>
    <w:uiPriority w:val="99"/>
    <w:rPr>
      <w:rFonts w:ascii="Segoe UI" w:hAnsi="Segoe UI" w:cs="Segoe UI"/>
      <w:sz w:val="18"/>
      <w:szCs w:val="18"/>
    </w:rPr>
  </w:style>
  <w:style w:type="paragraph" w:styleId="9">
    <w:name w:val="List Paragraph"/>
    <w:basedOn w:val="1"/>
    <w:qFormat/>
    <w:uiPriority w:val="34"/>
    <w:pPr>
      <w:ind w:left="720"/>
      <w:contextualSpacing/>
    </w:pPr>
  </w:style>
  <w:style w:type="paragraph" w:customStyle="1" w:styleId="10">
    <w:name w:val="ConsPlusNormal"/>
    <w:uiPriority w:val="0"/>
    <w:pPr>
      <w:widowControl w:val="0"/>
      <w:autoSpaceDE w:val="0"/>
      <w:autoSpaceDN w:val="0"/>
      <w:spacing w:after="0" w:line="240" w:lineRule="auto"/>
    </w:pPr>
    <w:rPr>
      <w:rFonts w:ascii="Calibri" w:hAnsi="Calibri" w:cs="Calibri" w:eastAsiaTheme="minorEastAsia"/>
      <w:sz w:val="22"/>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B16A28-21D6-471F-A600-05967C90E13E}">
  <ds:schemaRefs/>
</ds:datastoreItem>
</file>

<file path=docProps/app.xml><?xml version="1.0" encoding="utf-8"?>
<Properties xmlns="http://schemas.openxmlformats.org/officeDocument/2006/extended-properties" xmlns:vt="http://schemas.openxmlformats.org/officeDocument/2006/docPropsVTypes">
  <Template>Normal</Template>
  <Pages>6</Pages>
  <Words>2929</Words>
  <Characters>16698</Characters>
  <Lines>139</Lines>
  <Paragraphs>39</Paragraphs>
  <TotalTime>2359</TotalTime>
  <ScaleCrop>false</ScaleCrop>
  <LinksUpToDate>false</LinksUpToDate>
  <CharactersWithSpaces>19588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2023-06-22T10:07:00Z</dcterms:created>
  <dc:creator>Шитикова Наталья Викторовна</dc:creator>
  <cp:lastModifiedBy>79100</cp:lastModifiedBy>
  <cp:lastPrinted>2025-12-01T13:28:00Z</cp:lastPrinted>
  <dcterms:modified xsi:type="dcterms:W3CDTF">2025-12-15T07:55:59Z</dcterms:modified>
  <cp:revision>157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7BD345313DCF4E4C8B14F68180353E72_13</vt:lpwstr>
  </property>
</Properties>
</file>