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61" w:type="dxa"/>
        <w:jc w:val="right"/>
        <w:tblLayout w:type="fixed"/>
        <w:tblCellMar>
          <w:top w:w="55" w:type="dxa"/>
          <w:left w:w="55" w:type="dxa"/>
          <w:bottom w:w="55" w:type="dxa"/>
          <w:right w:w="55" w:type="dxa"/>
        </w:tblCellMar>
        <w:tblLook w:val="0000" w:firstRow="0" w:lastRow="0" w:firstColumn="0" w:lastColumn="0" w:noHBand="0" w:noVBand="0"/>
      </w:tblPr>
      <w:tblGrid>
        <w:gridCol w:w="4961"/>
      </w:tblGrid>
      <w:tr w:rsidR="00AB3AC3">
        <w:trPr>
          <w:trHeight w:val="4195"/>
          <w:jc w:val="right"/>
        </w:trPr>
        <w:tc>
          <w:tcPr>
            <w:tcW w:w="4961" w:type="dxa"/>
          </w:tcPr>
          <w:bookmarkStart w:id="0" w:name="_GoBack"/>
          <w:bookmarkEnd w:id="0"/>
          <w:p w:rsidR="00AB3AC3" w:rsidRPr="005C41F1" w:rsidRDefault="00102ECB" w:rsidP="005C41F1">
            <w:pPr>
              <w:pStyle w:val="ad"/>
              <w:rPr>
                <w:lang w:val="en-US"/>
              </w:rPr>
            </w:pPr>
            <w:r>
              <w:fldChar w:fldCharType="begin"/>
            </w:r>
            <w:r>
              <w:instrText xml:space="preserve"> DOCVARIABLE KorrespondentOutgoing </w:instrText>
            </w:r>
            <w:r>
              <w:fldChar w:fldCharType="separate"/>
            </w:r>
            <w:r>
              <w:t>Государственное казённое учреждение Ульяновской Области «Обеспечение судебных участков»</w:t>
            </w:r>
            <w:r>
              <w:br/>
              <w:t xml:space="preserve">432017, г. Ульяновск, ул. </w:t>
            </w:r>
            <w:proofErr w:type="gramStart"/>
            <w:r>
              <w:t>Спасская</w:t>
            </w:r>
            <w:proofErr w:type="gramEnd"/>
            <w:r>
              <w:t>, д. 8</w:t>
            </w:r>
            <w:r>
              <w:br/>
              <w:t>mirsud73@mail.ru</w:t>
            </w:r>
            <w:r>
              <w:br/>
            </w:r>
            <w:r>
              <w:br/>
              <w:t>ИП Г</w:t>
            </w:r>
            <w:r>
              <w:fldChar w:fldCharType="end"/>
            </w:r>
            <w:r>
              <w:rPr>
                <w:noProof/>
                <w:lang w:eastAsia="ru-RU" w:bidi="ar-SA"/>
              </w:rPr>
              <mc:AlternateContent>
                <mc:Choice Requires="wps">
                  <w:drawing>
                    <wp:anchor distT="72390" distB="72390" distL="72390" distR="72390" simplePos="0" relativeHeight="5" behindDoc="0" locked="0" layoutInCell="0" allowOverlap="1" wp14:anchorId="696B4268" wp14:editId="52DF75E8">
                      <wp:simplePos x="0" y="0"/>
                      <wp:positionH relativeFrom="page">
                        <wp:posOffset>2258695</wp:posOffset>
                      </wp:positionH>
                      <wp:positionV relativeFrom="page">
                        <wp:posOffset>2750185</wp:posOffset>
                      </wp:positionV>
                      <wp:extent cx="917575" cy="179705"/>
                      <wp:effectExtent l="0" t="0" r="0" b="0"/>
                      <wp:wrapNone/>
                      <wp:docPr id="2" name="Врезка3"/>
                      <wp:cNvGraphicFramePr/>
                      <a:graphic xmlns:a="http://schemas.openxmlformats.org/drawingml/2006/main">
                        <a:graphicData uri="http://schemas.microsoft.com/office/word/2010/wordprocessingShape">
                          <wps:wsp>
                            <wps:cNvSpPr txBox="1"/>
                            <wps:spPr>
                              <a:xfrm>
                                <a:off x="0" y="0"/>
                                <a:ext cx="917575" cy="179705"/>
                              </a:xfrm>
                              <a:prstGeom prst="rect">
                                <a:avLst/>
                              </a:prstGeom>
                              <a:solidFill>
                                <a:srgbClr val="FFFFFF"/>
                              </a:solidFill>
                            </wps:spPr>
                            <wps:txbx>
                              <w:txbxContent>
                                <w:p w:rsidR="00AB3AC3" w:rsidRDefault="00AB3AC3">
                                  <w:pPr>
                                    <w:pStyle w:val="aa"/>
                                    <w:rPr>
                                      <w:lang w:val="en-US"/>
                                    </w:rPr>
                                  </w:pPr>
                                </w:p>
                              </w:txbxContent>
                            </wps:txbx>
                            <wps:bodyPr lIns="0" tIns="0" rIns="0" bIns="0" anchor="t">
                              <a:noAutofit/>
                            </wps:bodyPr>
                          </wps:wsp>
                        </a:graphicData>
                      </a:graphic>
                    </wp:anchor>
                  </w:drawing>
                </mc:Choice>
                <mc:Fallback xmlns:w15="http://schemas.microsoft.com/office/word/2012/wordml">
                  <w:pict>
                    <v:rect style="position:absolute;rotation:-0;width:72.25pt;height:14.15pt;mso-wrap-distance-left:5.7pt;mso-wrap-distance-right:5.7pt;mso-wrap-distance-top:5.7pt;mso-wrap-distance-bottom:5.7pt;margin-top:216.55pt;mso-position-vertical-relative:page;margin-left:177.85pt;mso-position-horizontal-relative:page">
                      <v:textbox inset="0in,0in,0in,0in">
                        <w:txbxContent>
                          <w:p>
                            <w:pPr>
                              <w:pStyle w:val="Style15"/>
                              <w:spacing w:before="0" w:after="120"/>
                              <w:rPr>
                                <w:lang w:val="en-US"/>
                              </w:rPr>
                            </w:pPr>
                            <w:r>
                              <w:rPr>
                                <w:lang w:val="en-US"/>
                              </w:rPr>
                            </w:r>
                          </w:p>
                        </w:txbxContent>
                      </v:textbox>
                      <w10:wrap type="none"/>
                    </v:rect>
                  </w:pict>
                </mc:Fallback>
              </mc:AlternateContent>
            </w:r>
            <w:r>
              <w:rPr>
                <w:noProof/>
                <w:lang w:eastAsia="ru-RU" w:bidi="ar-SA"/>
              </w:rPr>
              <mc:AlternateContent>
                <mc:Choice Requires="wps">
                  <w:drawing>
                    <wp:anchor distT="72390" distB="72390" distL="72390" distR="72390" simplePos="0" relativeHeight="3" behindDoc="0" locked="0" layoutInCell="0" allowOverlap="1" wp14:anchorId="74BFE841" wp14:editId="013DE96C">
                      <wp:simplePos x="0" y="0"/>
                      <wp:positionH relativeFrom="page">
                        <wp:posOffset>1131570</wp:posOffset>
                      </wp:positionH>
                      <wp:positionV relativeFrom="page">
                        <wp:posOffset>2747645</wp:posOffset>
                      </wp:positionV>
                      <wp:extent cx="720090" cy="179705"/>
                      <wp:effectExtent l="0" t="0" r="0" b="0"/>
                      <wp:wrapNone/>
                      <wp:docPr id="4" name="Врезка2"/>
                      <wp:cNvGraphicFramePr/>
                      <a:graphic xmlns:a="http://schemas.openxmlformats.org/drawingml/2006/main">
                        <a:graphicData uri="http://schemas.microsoft.com/office/word/2010/wordprocessingShape">
                          <wps:wsp>
                            <wps:cNvSpPr txBox="1"/>
                            <wps:spPr>
                              <a:xfrm>
                                <a:off x="0" y="0"/>
                                <a:ext cx="720090" cy="179705"/>
                              </a:xfrm>
                              <a:prstGeom prst="rect">
                                <a:avLst/>
                              </a:prstGeom>
                              <a:solidFill>
                                <a:srgbClr val="FFFFFF"/>
                              </a:solidFill>
                            </wps:spPr>
                            <wps:txbx>
                              <w:txbxContent>
                                <w:p w:rsidR="00AB3AC3" w:rsidRDefault="00AB3AC3">
                                  <w:pPr>
                                    <w:pStyle w:val="aa"/>
                                    <w:rPr>
                                      <w:lang w:val="en-US"/>
                                    </w:rPr>
                                  </w:pPr>
                                </w:p>
                              </w:txbxContent>
                            </wps:txbx>
                            <wps:bodyPr lIns="0" tIns="0" rIns="0" bIns="0" anchor="t">
                              <a:noAutofit/>
                            </wps:bodyPr>
                          </wps:wsp>
                        </a:graphicData>
                      </a:graphic>
                    </wp:anchor>
                  </w:drawing>
                </mc:Choice>
                <mc:Fallback xmlns:w15="http://schemas.microsoft.com/office/word/2012/wordml">
                  <w:pict>
                    <v:shapetype w14:anchorId="74BFE841" id="_x0000_t202" coordsize="21600,21600" o:spt="202" path="m,l,21600r21600,l21600,xe">
                      <v:stroke joinstyle="miter"/>
                      <v:path gradientshapeok="t" o:connecttype="rect"/>
                    </v:shapetype>
                    <v:shape id="Врезка2" o:spid="_x0000_s1027" type="#_x0000_t202" style="position:absolute;margin-left:89.1pt;margin-top:216.35pt;width:56.7pt;height:14.15pt;z-index:3;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" o:allowincell="f" stroked="f">
                      <v:textbox inset="0,0,0,0">
                        <w:txbxContent>
                          <w:p w:rsidR="00AB3AC3" w:rsidRDefault="00AB3AC3">
                            <w:pPr>
                              <w:pStyle w:val="aa"/>
                              <w:rPr>
                                <w:lang w:val="en-US"/>
                              </w:rPr>
                            </w:pPr>
                          </w:p>
                        </w:txbxContent>
                      </v:textbox>
                      <w10:wrap anchorx="page" anchory="page"/>
                    </v:shape>
                  </w:pict>
                </mc:Fallback>
              </mc:AlternateContent>
            </w:r>
            <w:r w:rsidR="005C41F1">
              <w:rPr>
                <w:lang w:val="en-US"/>
              </w:rPr>
              <w:t>&lt;…&gt;</w:t>
            </w:r>
          </w:p>
        </w:tc>
      </w:tr>
    </w:tbl>
    <w:p w:rsidR="00AB3AC3" w:rsidRDefault="005C41F1">
      <w:pPr>
        <w:jc w:val="right"/>
      </w:pPr>
      <w:r>
        <w:rPr>
          <w:noProof/>
          <w:lang w:eastAsia="ru-RU" w:bidi="ar-SA"/>
        </w:rPr>
        <mc:AlternateContent>
          <mc:Choice Requires="wps">
            <w:drawing>
              <wp:anchor distT="72390" distB="72390" distL="72390" distR="72390" simplePos="0" relativeHeight="4" behindDoc="0" locked="0" layoutInCell="0" allowOverlap="1" wp14:anchorId="55114838" wp14:editId="130C6151">
                <wp:simplePos x="0" y="0"/>
                <wp:positionH relativeFrom="page">
                  <wp:posOffset>838835</wp:posOffset>
                </wp:positionH>
                <wp:positionV relativeFrom="page">
                  <wp:posOffset>3539490</wp:posOffset>
                </wp:positionV>
                <wp:extent cx="2491740" cy="647700"/>
                <wp:effectExtent l="0" t="0" r="0" b="0"/>
                <wp:wrapNone/>
                <wp:docPr id="3" name="Врезка4"/>
                <wp:cNvGraphicFramePr/>
                <a:graphic xmlns:a="http://schemas.openxmlformats.org/drawingml/2006/main">
                  <a:graphicData uri="http://schemas.microsoft.com/office/word/2010/wordprocessingShape">
                    <wps:wsp>
                      <wps:cNvSpPr txBox="1"/>
                      <wps:spPr>
                        <a:xfrm>
                          <a:off x="0" y="0"/>
                          <a:ext cx="2491740" cy="647700"/>
                        </a:xfrm>
                        <a:prstGeom prst="rect">
                          <a:avLst/>
                        </a:prstGeom>
                        <a:solidFill>
                          <a:srgbClr val="FFFFFF"/>
                        </a:solidFill>
                      </wps:spPr>
                      <wps:txbx>
                        <w:txbxContent>
                          <w:p w:rsidR="00AB3AC3" w:rsidRDefault="00102ECB">
                            <w:pPr>
                              <w:jc w:val="both"/>
                              <w:rPr>
                                <w:b/>
                                <w:bCs/>
                                <w:i/>
                                <w:iCs/>
                                <w:color w:val="000000"/>
                              </w:rPr>
                            </w:pPr>
                            <w:r>
                              <w:rPr>
                                <w:b/>
                                <w:bCs/>
                                <w:i/>
                                <w:iCs/>
                                <w:color w:val="000000"/>
                              </w:rPr>
                              <w:fldChar w:fldCharType="begin"/>
                            </w:r>
                            <w:r>
                              <w:rPr>
                                <w:b/>
                                <w:bCs/>
                                <w:i/>
                                <w:iCs/>
                                <w:color w:val="000000"/>
                              </w:rPr>
                              <w:instrText xml:space="preserve"> DOCVARIABLE Annotation </w:instrText>
                            </w:r>
                            <w:r>
                              <w:rPr>
                                <w:b/>
                                <w:bCs/>
                                <w:i/>
                                <w:iCs/>
                                <w:color w:val="000000"/>
                              </w:rPr>
                              <w:fldChar w:fldCharType="separate"/>
                            </w:r>
                            <w:r>
                              <w:rPr>
                                <w:b/>
                                <w:bCs/>
                                <w:i/>
                                <w:iCs/>
                                <w:color w:val="000000"/>
                              </w:rPr>
                              <w:t>Решение по делу № 073/10/104-124/2026</w:t>
                            </w:r>
                            <w:r>
                              <w:rPr>
                                <w:b/>
                                <w:bCs/>
                                <w:i/>
                                <w:iCs/>
                                <w:color w:val="000000"/>
                              </w:rPr>
                              <w:fldChar w:fldCharType="end"/>
                            </w:r>
                          </w:p>
                        </w:txbxContent>
                      </wps:txbx>
                      <wps:bodyPr lIns="0" tIns="0" rIns="0" bIns="0" anchor="t">
                        <a:noAutofit/>
                      </wps:bodyPr>
                    </wps:wsp>
                  </a:graphicData>
                </a:graphic>
              </wp:anchor>
            </w:drawing>
          </mc:Choice>
          <mc:Fallback xmlns:w15="http://schemas.microsoft.com/office/word/2012/wordml">
            <w:pict>
              <v:shape w14:anchorId="55114838" id="Врезка4" o:spid="_x0000_s1028" type="#_x0000_t202" style="position:absolute;left:0;text-align:left;margin-left:66.05pt;margin-top:278.7pt;width:196.2pt;height:51pt;z-index: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" o:allowincell="f" stroked="f">
                <v:textbox inset="0,0,0,0">
                  <w:txbxContent>
                    <w:p w:rsidR="00AB3AC3" w:rsidRDefault="00102ECB">
                      <w:pPr>
                        <w:jc w:val="both"/>
                        <w:rPr>
                          <w:b/>
                          <w:bCs/>
                          <w:i/>
                          <w:iCs/>
                          <w:color w:val="000000"/>
                        </w:rPr>
                      </w:pPr>
                      <w:r>
                        <w:rPr>
                          <w:b/>
                          <w:bCs/>
                          <w:i/>
                          <w:iCs/>
                          <w:color w:val="000000"/>
                        </w:rPr>
                        <w:fldChar w:fldCharType="begin"/>
                      </w:r>
                      <w:r>
                        <w:rPr>
                          <w:b/>
                          <w:bCs/>
                          <w:i/>
                          <w:iCs/>
                          <w:color w:val="000000"/>
                        </w:rPr>
                        <w:instrText xml:space="preserve"> DOCVARIABLE Annotation </w:instrText>
                      </w:r>
                      <w:r>
                        <w:rPr>
                          <w:b/>
                          <w:bCs/>
                          <w:i/>
                          <w:iCs/>
                          <w:color w:val="000000"/>
                        </w:rPr>
                        <w:fldChar w:fldCharType="separate"/>
                      </w:r>
                      <w:r>
                        <w:rPr>
                          <w:b/>
                          <w:bCs/>
                          <w:i/>
                          <w:iCs/>
                          <w:color w:val="000000"/>
                        </w:rPr>
                        <w:t>Решение по делу № 073/10/104-124/2026</w:t>
                      </w:r>
                      <w:r>
                        <w:rPr>
                          <w:b/>
                          <w:bCs/>
                          <w:i/>
                          <w:iCs/>
                          <w:color w:val="000000"/>
                        </w:rPr>
                        <w:fldChar w:fldCharType="end"/>
                      </w:r>
                    </w:p>
                  </w:txbxContent>
                </v:textbox>
                <w10:wrap anchorx="page" anchory="page"/>
              </v:shape>
            </w:pict>
          </mc:Fallback>
        </mc:AlternateContent>
      </w:r>
      <w:r>
        <w:rPr>
          <w:noProof/>
          <w:lang w:eastAsia="ru-RU" w:bidi="ar-SA"/>
        </w:rPr>
        <w:drawing>
          <wp:anchor distT="0" distB="0" distL="0" distR="0" simplePos="0" relativeHeight="2" behindDoc="0" locked="0" layoutInCell="0" allowOverlap="1" wp14:anchorId="28FE767E" wp14:editId="451497F7">
            <wp:simplePos x="0" y="0"/>
            <wp:positionH relativeFrom="margin">
              <wp:posOffset>54610</wp:posOffset>
            </wp:positionH>
            <wp:positionV relativeFrom="page">
              <wp:posOffset>410210</wp:posOffset>
            </wp:positionV>
            <wp:extent cx="2628265" cy="3275965"/>
            <wp:effectExtent l="0" t="0" r="0" b="0"/>
            <wp:wrapNone/>
            <wp:docPr id="1" name="Графический объек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рафический объект1"/>
                    <pic:cNvPicPr>
                      <a:picLocks noChangeAspect="1" noChangeArrowheads="1"/>
                    </pic:cNvPicPr>
                  </pic:nvPicPr>
                  <pic:blipFill>
                    <a:blip r:embed="rId7"/>
                    <a:stretch>
                      <a:fillRect/>
                    </a:stretch>
                  </pic:blipFill>
                  <pic:spPr bwMode="auto">
                    <a:xfrm>
                      <a:off x="0" y="0"/>
                      <a:ext cx="2628265" cy="3275965"/>
                    </a:xfrm>
                    <a:prstGeom prst="rect">
                      <a:avLst/>
                    </a:prstGeom>
                  </pic:spPr>
                </pic:pic>
              </a:graphicData>
            </a:graphic>
          </wp:anchor>
        </w:drawing>
      </w:r>
    </w:p>
    <w:p w:rsidR="00AB3AC3" w:rsidRDefault="00AB3AC3"/>
    <w:p w:rsidR="00AB3AC3" w:rsidRDefault="00AB3AC3"/>
    <w:p w:rsidR="00AB3AC3" w:rsidRDefault="00AB3AC3"/>
    <w:p w:rsidR="00AB3AC3" w:rsidRDefault="00AB3AC3">
      <w:pPr>
        <w:tabs>
          <w:tab w:val="left" w:pos="5832"/>
        </w:tabs>
        <w:jc w:val="center"/>
        <w:rPr>
          <w:b/>
          <w:lang w:eastAsia="ru-RU"/>
        </w:rPr>
      </w:pPr>
    </w:p>
    <w:p w:rsidR="00AB3AC3" w:rsidRDefault="00102ECB">
      <w:pPr>
        <w:tabs>
          <w:tab w:val="left" w:pos="5832"/>
        </w:tabs>
        <w:jc w:val="center"/>
        <w:rPr>
          <w:b/>
          <w:lang w:eastAsia="ru-RU"/>
        </w:rPr>
      </w:pPr>
      <w:r>
        <w:rPr>
          <w:b/>
          <w:lang w:eastAsia="ru-RU"/>
        </w:rPr>
        <w:t>РЕШЕНИЕ</w:t>
      </w:r>
    </w:p>
    <w:p w:rsidR="00AB3AC3" w:rsidRDefault="00AB3AC3">
      <w:pPr>
        <w:jc w:val="center"/>
        <w:rPr>
          <w:lang w:eastAsia="ru-RU"/>
        </w:rPr>
      </w:pPr>
    </w:p>
    <w:p w:rsidR="00AB3AC3" w:rsidRDefault="00102ECB">
      <w:pPr>
        <w:jc w:val="center"/>
        <w:rPr>
          <w:lang w:eastAsia="ru-RU"/>
        </w:rPr>
      </w:pPr>
      <w:r>
        <w:rPr>
          <w:lang w:eastAsia="ru-RU"/>
        </w:rPr>
        <w:t>по делу № 073/10/104-124/2026</w:t>
      </w:r>
    </w:p>
    <w:p w:rsidR="00AB3AC3" w:rsidRDefault="00AB3AC3">
      <w:pPr>
        <w:jc w:val="center"/>
        <w:rPr>
          <w:lang w:eastAsia="ru-RU"/>
        </w:rPr>
      </w:pPr>
    </w:p>
    <w:p w:rsidR="00AB3AC3" w:rsidRDefault="00AB3AC3">
      <w:pPr>
        <w:jc w:val="center"/>
        <w:rPr>
          <w:lang w:eastAsia="ru-RU"/>
        </w:rPr>
      </w:pPr>
    </w:p>
    <w:tbl>
      <w:tblPr>
        <w:tblW w:w="10080" w:type="dxa"/>
        <w:tblLayout w:type="fixed"/>
        <w:tblLook w:val="0000" w:firstRow="0" w:lastRow="0" w:firstColumn="0" w:lastColumn="0" w:noHBand="0" w:noVBand="0"/>
      </w:tblPr>
      <w:tblGrid>
        <w:gridCol w:w="4841"/>
        <w:gridCol w:w="5239"/>
      </w:tblGrid>
      <w:tr w:rsidR="00AB3AC3">
        <w:tc>
          <w:tcPr>
            <w:tcW w:w="4841" w:type="dxa"/>
          </w:tcPr>
          <w:p w:rsidR="00AB3AC3" w:rsidRDefault="00102ECB">
            <w:pPr>
              <w:spacing w:line="288" w:lineRule="auto"/>
              <w:rPr>
                <w:u w:val="single"/>
                <w:lang w:eastAsia="ru-RU"/>
              </w:rPr>
            </w:pPr>
            <w:r>
              <w:rPr>
                <w:u w:val="single"/>
                <w:lang w:eastAsia="ru-RU"/>
              </w:rPr>
              <w:t>05.03.2026</w:t>
            </w:r>
          </w:p>
        </w:tc>
        <w:tc>
          <w:tcPr>
            <w:tcW w:w="5239" w:type="dxa"/>
          </w:tcPr>
          <w:p w:rsidR="00AB3AC3" w:rsidRDefault="00102ECB">
            <w:pPr>
              <w:spacing w:line="288" w:lineRule="auto"/>
              <w:jc w:val="right"/>
              <w:rPr>
                <w:u w:val="single"/>
                <w:lang w:eastAsia="ru-RU"/>
              </w:rPr>
            </w:pPr>
            <w:r>
              <w:rPr>
                <w:u w:val="single"/>
                <w:lang w:eastAsia="ru-RU"/>
              </w:rPr>
              <w:t xml:space="preserve"> г. Ульяновск</w:t>
            </w:r>
          </w:p>
          <w:p w:rsidR="00AB3AC3" w:rsidRDefault="00AB3AC3">
            <w:pPr>
              <w:spacing w:line="288" w:lineRule="auto"/>
              <w:jc w:val="right"/>
              <w:rPr>
                <w:i/>
                <w:u w:val="single"/>
                <w:lang w:eastAsia="ru-RU"/>
              </w:rPr>
            </w:pPr>
          </w:p>
        </w:tc>
      </w:tr>
    </w:tbl>
    <w:p w:rsidR="00AB3AC3" w:rsidRDefault="00102ECB">
      <w:pPr>
        <w:tabs>
          <w:tab w:val="left" w:pos="142"/>
        </w:tabs>
        <w:ind w:firstLine="709"/>
        <w:jc w:val="both"/>
      </w:pPr>
      <w:r>
        <w:rPr>
          <w:lang w:eastAsia="ru-RU"/>
        </w:rPr>
        <w:t xml:space="preserve">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Pr>
          <w:i/>
          <w:lang w:eastAsia="ru-RU"/>
        </w:rPr>
        <w:t>Закон о контрактной системе</w:t>
      </w:r>
      <w:r>
        <w:rPr>
          <w:lang w:eastAsia="ru-RU"/>
        </w:rPr>
        <w:t>) Комиссия Ульяновского УФАС России</w:t>
      </w:r>
      <w:r>
        <w:rPr>
          <w:i/>
          <w:lang w:eastAsia="ru-RU"/>
        </w:rPr>
        <w:t xml:space="preserve"> </w:t>
      </w:r>
      <w:r>
        <w:rPr>
          <w:lang w:eastAsia="ru-RU"/>
        </w:rPr>
        <w:t xml:space="preserve">(далее – </w:t>
      </w:r>
      <w:r>
        <w:rPr>
          <w:i/>
          <w:lang w:eastAsia="ru-RU"/>
        </w:rPr>
        <w:t>Комиссия</w:t>
      </w:r>
      <w:r>
        <w:rPr>
          <w:lang w:eastAsia="ru-RU"/>
        </w:rPr>
        <w:t>) в составе:</w:t>
      </w:r>
    </w:p>
    <w:tbl>
      <w:tblPr>
        <w:tblW w:w="10095" w:type="dxa"/>
        <w:tblInd w:w="1" w:type="dxa"/>
        <w:tblLayout w:type="fixed"/>
        <w:tblLook w:val="0000" w:firstRow="0" w:lastRow="0" w:firstColumn="0" w:lastColumn="0" w:noHBand="0" w:noVBand="0"/>
      </w:tblPr>
      <w:tblGrid>
        <w:gridCol w:w="3900"/>
        <w:gridCol w:w="6195"/>
      </w:tblGrid>
      <w:tr w:rsidR="00AB3AC3">
        <w:tc>
          <w:tcPr>
            <w:tcW w:w="3900" w:type="dxa"/>
          </w:tcPr>
          <w:p w:rsidR="00AB3AC3" w:rsidRDefault="00AB3AC3">
            <w:pPr>
              <w:spacing w:line="256" w:lineRule="auto"/>
              <w:rPr>
                <w:lang w:eastAsia="ru-RU"/>
              </w:rPr>
            </w:pPr>
          </w:p>
          <w:p w:rsidR="00AB3AC3" w:rsidRDefault="00102ECB">
            <w:pPr>
              <w:spacing w:line="256" w:lineRule="auto"/>
              <w:rPr>
                <w:lang w:eastAsia="ru-RU"/>
              </w:rPr>
            </w:pPr>
            <w:r>
              <w:rPr>
                <w:lang w:eastAsia="ru-RU"/>
              </w:rPr>
              <w:t xml:space="preserve">   председателя Комиссии:</w:t>
            </w:r>
          </w:p>
        </w:tc>
        <w:tc>
          <w:tcPr>
            <w:tcW w:w="6195" w:type="dxa"/>
          </w:tcPr>
          <w:p w:rsidR="00AB3AC3" w:rsidRDefault="00AB3AC3">
            <w:pPr>
              <w:spacing w:line="256" w:lineRule="auto"/>
              <w:ind w:left="317" w:hanging="142"/>
              <w:jc w:val="both"/>
              <w:rPr>
                <w:lang w:eastAsia="ru-RU"/>
              </w:rPr>
            </w:pPr>
          </w:p>
          <w:p w:rsidR="00AB3AC3" w:rsidRDefault="00102ECB" w:rsidP="005C41F1">
            <w:pPr>
              <w:spacing w:line="256" w:lineRule="auto"/>
              <w:jc w:val="both"/>
              <w:rPr>
                <w:lang w:eastAsia="ru-RU"/>
              </w:rPr>
            </w:pPr>
            <w:r>
              <w:rPr>
                <w:lang w:eastAsia="ru-RU"/>
              </w:rPr>
              <w:t xml:space="preserve">   - </w:t>
            </w:r>
            <w:proofErr w:type="spellStart"/>
            <w:r>
              <w:rPr>
                <w:lang w:eastAsia="ru-RU"/>
              </w:rPr>
              <w:t>врио</w:t>
            </w:r>
            <w:proofErr w:type="spellEnd"/>
            <w:r>
              <w:rPr>
                <w:lang w:eastAsia="ru-RU"/>
              </w:rPr>
              <w:t xml:space="preserve"> руководителя управления </w:t>
            </w:r>
            <w:r w:rsidR="005C41F1">
              <w:rPr>
                <w:lang w:val="en-US" w:eastAsia="ru-RU"/>
              </w:rPr>
              <w:t>&lt;…&gt;</w:t>
            </w:r>
            <w:r>
              <w:rPr>
                <w:lang w:eastAsia="ru-RU"/>
              </w:rPr>
              <w:t>,</w:t>
            </w:r>
          </w:p>
        </w:tc>
      </w:tr>
      <w:tr w:rsidR="00AB3AC3">
        <w:tc>
          <w:tcPr>
            <w:tcW w:w="3900" w:type="dxa"/>
          </w:tcPr>
          <w:p w:rsidR="00AB3AC3" w:rsidRDefault="00AB3AC3">
            <w:pPr>
              <w:spacing w:line="256" w:lineRule="auto"/>
              <w:rPr>
                <w:lang w:eastAsia="ru-RU"/>
              </w:rPr>
            </w:pPr>
          </w:p>
          <w:p w:rsidR="00AB3AC3" w:rsidRDefault="00102ECB">
            <w:pPr>
              <w:spacing w:line="256" w:lineRule="auto"/>
              <w:rPr>
                <w:lang w:eastAsia="ru-RU"/>
              </w:rPr>
            </w:pPr>
            <w:r>
              <w:rPr>
                <w:lang w:eastAsia="ru-RU"/>
              </w:rPr>
              <w:t xml:space="preserve">   членов Комиссии:</w:t>
            </w:r>
          </w:p>
          <w:p w:rsidR="00AB3AC3" w:rsidRDefault="00AB3AC3">
            <w:pPr>
              <w:spacing w:line="256" w:lineRule="auto"/>
              <w:rPr>
                <w:lang w:eastAsia="ru-RU"/>
              </w:rPr>
            </w:pPr>
          </w:p>
        </w:tc>
        <w:tc>
          <w:tcPr>
            <w:tcW w:w="6195" w:type="dxa"/>
          </w:tcPr>
          <w:p w:rsidR="00AB3AC3" w:rsidRDefault="00AB3AC3">
            <w:pPr>
              <w:spacing w:line="256" w:lineRule="auto"/>
              <w:ind w:left="317" w:hanging="142"/>
              <w:jc w:val="both"/>
              <w:rPr>
                <w:lang w:eastAsia="ru-RU"/>
              </w:rPr>
            </w:pPr>
          </w:p>
          <w:p w:rsidR="00AB3AC3" w:rsidRDefault="00102ECB">
            <w:pPr>
              <w:spacing w:line="256" w:lineRule="auto"/>
              <w:jc w:val="both"/>
              <w:rPr>
                <w:lang w:eastAsia="ru-RU"/>
              </w:rPr>
            </w:pPr>
            <w:r>
              <w:rPr>
                <w:lang w:eastAsia="ru-RU"/>
              </w:rPr>
              <w:t xml:space="preserve">   - ведущего специалиста-эксперта </w:t>
            </w:r>
            <w:r w:rsidR="005C41F1" w:rsidRPr="005C41F1">
              <w:rPr>
                <w:lang w:eastAsia="ru-RU"/>
              </w:rPr>
              <w:t>&lt;…&gt;</w:t>
            </w:r>
            <w:r>
              <w:rPr>
                <w:lang w:eastAsia="ru-RU"/>
              </w:rPr>
              <w:t>,</w:t>
            </w:r>
          </w:p>
          <w:p w:rsidR="00AB3AC3" w:rsidRDefault="00102ECB">
            <w:pPr>
              <w:spacing w:line="256" w:lineRule="auto"/>
              <w:jc w:val="both"/>
              <w:rPr>
                <w:lang w:eastAsia="ru-RU"/>
              </w:rPr>
            </w:pPr>
            <w:r>
              <w:rPr>
                <w:lang w:eastAsia="ru-RU"/>
              </w:rPr>
              <w:t xml:space="preserve">   - старшего специалиста 1 разряда </w:t>
            </w:r>
            <w:r w:rsidR="005C41F1" w:rsidRPr="005C41F1">
              <w:rPr>
                <w:lang w:eastAsia="ru-RU"/>
              </w:rPr>
              <w:t>&lt;…&gt;</w:t>
            </w:r>
            <w:r>
              <w:rPr>
                <w:lang w:eastAsia="ru-RU"/>
              </w:rPr>
              <w:t>,</w:t>
            </w:r>
          </w:p>
          <w:p w:rsidR="00AB3AC3" w:rsidRDefault="00AB3AC3">
            <w:pPr>
              <w:spacing w:line="256" w:lineRule="auto"/>
              <w:ind w:left="317" w:hanging="142"/>
              <w:jc w:val="both"/>
              <w:rPr>
                <w:lang w:eastAsia="ru-RU"/>
              </w:rPr>
            </w:pPr>
          </w:p>
        </w:tc>
      </w:tr>
      <w:tr w:rsidR="00AB3AC3">
        <w:trPr>
          <w:trHeight w:val="923"/>
        </w:trPr>
        <w:tc>
          <w:tcPr>
            <w:tcW w:w="3900" w:type="dxa"/>
          </w:tcPr>
          <w:p w:rsidR="00AB3AC3" w:rsidRDefault="00102ECB">
            <w:pPr>
              <w:ind w:right="-391"/>
              <w:rPr>
                <w:lang w:eastAsia="ru-RU"/>
              </w:rPr>
            </w:pPr>
            <w:r>
              <w:rPr>
                <w:lang w:eastAsia="ru-RU"/>
              </w:rPr>
              <w:t xml:space="preserve">   в присутствии (с использованием</w:t>
            </w:r>
          </w:p>
          <w:p w:rsidR="00AB3AC3" w:rsidRDefault="00102ECB">
            <w:pPr>
              <w:ind w:right="-391"/>
              <w:rPr>
                <w:lang w:eastAsia="ru-RU"/>
              </w:rPr>
            </w:pPr>
            <w:r>
              <w:rPr>
                <w:lang w:eastAsia="ru-RU"/>
              </w:rPr>
              <w:t>системы видео-конференц-связи):</w:t>
            </w:r>
          </w:p>
          <w:p w:rsidR="00AB3AC3" w:rsidRDefault="00AB3AC3">
            <w:pPr>
              <w:ind w:right="-342"/>
              <w:rPr>
                <w:lang w:eastAsia="ru-RU"/>
              </w:rPr>
            </w:pPr>
          </w:p>
        </w:tc>
        <w:tc>
          <w:tcPr>
            <w:tcW w:w="6195" w:type="dxa"/>
          </w:tcPr>
          <w:p w:rsidR="00AB3AC3" w:rsidRPr="00102ECB" w:rsidRDefault="00102ECB">
            <w:pPr>
              <w:keepNext/>
              <w:jc w:val="both"/>
            </w:pPr>
            <w:r>
              <w:rPr>
                <w:lang w:eastAsia="ru-RU"/>
              </w:rPr>
              <w:t xml:space="preserve">   - </w:t>
            </w:r>
            <w:r>
              <w:rPr>
                <w:i/>
                <w:lang w:eastAsia="ru-RU"/>
              </w:rPr>
              <w:t xml:space="preserve">от </w:t>
            </w:r>
            <w:r>
              <w:rPr>
                <w:i/>
              </w:rPr>
              <w:t>ИП Г</w:t>
            </w:r>
            <w:r>
              <w:rPr>
                <w:lang w:val="en-US" w:eastAsia="ru-RU"/>
              </w:rPr>
              <w:t>&lt;…&gt;</w:t>
            </w:r>
            <w:r>
              <w:rPr>
                <w:lang w:eastAsia="ru-RU"/>
              </w:rPr>
              <w:t>:</w:t>
            </w:r>
          </w:p>
          <w:p w:rsidR="00AB3AC3" w:rsidRDefault="00102ECB">
            <w:pPr>
              <w:keepNext/>
              <w:jc w:val="both"/>
            </w:pPr>
            <w:r>
              <w:rPr>
                <w:lang w:eastAsia="ru-RU"/>
              </w:rPr>
              <w:t xml:space="preserve">   - </w:t>
            </w:r>
            <w:r w:rsidR="005C41F1">
              <w:rPr>
                <w:lang w:val="en-US" w:eastAsia="ru-RU"/>
              </w:rPr>
              <w:t>&lt;…&gt;</w:t>
            </w:r>
            <w:r>
              <w:rPr>
                <w:lang w:eastAsia="ru-RU"/>
              </w:rPr>
              <w:t xml:space="preserve"> (доверенность от 04.03.2026),</w:t>
            </w:r>
          </w:p>
          <w:p w:rsidR="00AB3AC3" w:rsidRDefault="00AB3AC3">
            <w:pPr>
              <w:keepNext/>
              <w:jc w:val="both"/>
              <w:rPr>
                <w:lang w:eastAsia="ru-RU"/>
              </w:rPr>
            </w:pPr>
          </w:p>
        </w:tc>
      </w:tr>
    </w:tbl>
    <w:p w:rsidR="00AB3AC3" w:rsidRDefault="00102ECB">
      <w:pPr>
        <w:ind w:firstLine="709"/>
        <w:jc w:val="both"/>
      </w:pPr>
      <w:r>
        <w:rPr>
          <w:lang w:eastAsia="ru-RU"/>
        </w:rPr>
        <w:t xml:space="preserve">по обращению </w:t>
      </w:r>
      <w:r>
        <w:t xml:space="preserve">Государственного казенного учреждения Ульяновской области «Обеспечение судебных участков» (далее – </w:t>
      </w:r>
      <w:r>
        <w:rPr>
          <w:i/>
        </w:rPr>
        <w:t>ГКУУО «Обеспечение судебных участков»,</w:t>
      </w:r>
      <w:r>
        <w:t xml:space="preserve"> </w:t>
      </w:r>
      <w:r>
        <w:rPr>
          <w:i/>
        </w:rPr>
        <w:t>заказчик</w:t>
      </w:r>
      <w:r>
        <w:t xml:space="preserve">) о включении </w:t>
      </w:r>
      <w:r>
        <w:rPr>
          <w:lang w:eastAsia="ru-RU"/>
        </w:rPr>
        <w:t>сведений в отношении индивидуального предпринимателя Г</w:t>
      </w:r>
      <w:r w:rsidRPr="00102ECB">
        <w:rPr>
          <w:lang w:eastAsia="ru-RU"/>
        </w:rPr>
        <w:t>&lt;…&gt;</w:t>
      </w:r>
      <w:r>
        <w:rPr>
          <w:lang w:eastAsia="ru-RU"/>
        </w:rPr>
        <w:t xml:space="preserve"> (далее – </w:t>
      </w:r>
      <w:r>
        <w:rPr>
          <w:i/>
          <w:lang w:eastAsia="ru-RU"/>
        </w:rPr>
        <w:t>ИП Г</w:t>
      </w:r>
      <w:r w:rsidRPr="00102ECB">
        <w:rPr>
          <w:lang w:eastAsia="ru-RU"/>
        </w:rPr>
        <w:t>&lt;…&gt;</w:t>
      </w:r>
      <w:r>
        <w:rPr>
          <w:lang w:eastAsia="ru-RU"/>
        </w:rPr>
        <w:t xml:space="preserve">, </w:t>
      </w:r>
      <w:r>
        <w:rPr>
          <w:i/>
          <w:lang w:eastAsia="ru-RU"/>
        </w:rPr>
        <w:t>участник</w:t>
      </w:r>
      <w:r>
        <w:rPr>
          <w:lang w:eastAsia="ru-RU"/>
        </w:rPr>
        <w:t>) в реестр недобросовестных поставщиков в связи с уклонением от заключения контракта на оказание услуг по заправке картриджей (ЭА № 0368200017226000002),</w:t>
      </w:r>
    </w:p>
    <w:p w:rsidR="00AB3AC3" w:rsidRDefault="00AB3AC3">
      <w:pPr>
        <w:jc w:val="center"/>
        <w:rPr>
          <w:lang w:eastAsia="ru-RU"/>
        </w:rPr>
      </w:pPr>
    </w:p>
    <w:p w:rsidR="00AB3AC3" w:rsidRDefault="00AB3AC3">
      <w:pPr>
        <w:jc w:val="center"/>
        <w:rPr>
          <w:lang w:eastAsia="ru-RU"/>
        </w:rPr>
        <w:sectPr w:rsidR="00AB3AC3">
          <w:footerReference w:type="default" r:id="rId8"/>
          <w:pgSz w:w="11906" w:h="16838"/>
          <w:pgMar w:top="1134" w:right="680" w:bottom="2082" w:left="1134" w:header="0" w:footer="1417" w:gutter="0"/>
          <w:cols w:space="720"/>
          <w:formProt w:val="0"/>
          <w:docGrid w:linePitch="312" w:charSpace="-6145"/>
        </w:sectPr>
      </w:pPr>
    </w:p>
    <w:p w:rsidR="00AB3AC3" w:rsidRDefault="00102ECB">
      <w:pPr>
        <w:jc w:val="center"/>
      </w:pPr>
      <w:r>
        <w:rPr>
          <w:b/>
          <w:lang w:eastAsia="ru-RU"/>
        </w:rPr>
        <w:lastRenderedPageBreak/>
        <w:t>УСТАНОВИЛА:</w:t>
      </w:r>
    </w:p>
    <w:p w:rsidR="00AB3AC3" w:rsidRDefault="00AB3AC3">
      <w:pPr>
        <w:jc w:val="center"/>
        <w:rPr>
          <w:b/>
          <w:lang w:eastAsia="ru-RU"/>
        </w:rPr>
      </w:pPr>
    </w:p>
    <w:p w:rsidR="00AB3AC3" w:rsidRDefault="00102ECB">
      <w:pPr>
        <w:ind w:firstLine="720"/>
        <w:jc w:val="both"/>
      </w:pPr>
      <w:r>
        <w:rPr>
          <w:lang w:eastAsia="ru-RU"/>
        </w:rPr>
        <w:t>В единой информационной системе в сфере закупок (</w:t>
      </w:r>
      <w:hyperlink r:id="rId9">
        <w:r>
          <w:rPr>
            <w:lang w:eastAsia="ru-RU"/>
          </w:rPr>
          <w:t>www.zakupki.gov.ru</w:t>
        </w:r>
      </w:hyperlink>
      <w:r>
        <w:rPr>
          <w:lang w:eastAsia="ru-RU"/>
        </w:rPr>
        <w:t>) 04.02.2026 было опубликовано извещение о проведении электронного аукциона № 0368200017226000002, наименование объекта закупки – «Услуги по заправке картриджей» (начальная (максимальная) цена контракта – 300 000,00 руб.).</w:t>
      </w:r>
    </w:p>
    <w:p w:rsidR="00AB3AC3" w:rsidRDefault="00102ECB">
      <w:pPr>
        <w:shd w:val="clear" w:color="auto" w:fill="FFFFFF"/>
        <w:ind w:firstLine="720"/>
        <w:jc w:val="both"/>
        <w:rPr>
          <w:lang w:eastAsia="ru-RU"/>
        </w:rPr>
      </w:pPr>
      <w:r>
        <w:rPr>
          <w:lang w:eastAsia="ru-RU"/>
        </w:rPr>
        <w:t>По окончании срока подачи заявок на участие в электронном аукционе было подано пять заявок на участие в нем, цена была снижена на 73,62 %.</w:t>
      </w:r>
    </w:p>
    <w:p w:rsidR="00AB3AC3" w:rsidRDefault="00102ECB">
      <w:pPr>
        <w:ind w:firstLine="720"/>
        <w:jc w:val="both"/>
        <w:rPr>
          <w:lang w:eastAsia="ru-RU"/>
        </w:rPr>
      </w:pPr>
      <w:r>
        <w:rPr>
          <w:lang w:eastAsia="ru-RU"/>
        </w:rPr>
        <w:t>Согласно протоколу подведения итогов от 13.02.2026 заявки всех участников были признаны соответствующими требованиям извещения и законодательства, определен победитель – ИП Г</w:t>
      </w:r>
      <w:r w:rsidRPr="00102ECB">
        <w:rPr>
          <w:lang w:eastAsia="ru-RU"/>
        </w:rPr>
        <w:t>&lt;…&gt;</w:t>
      </w:r>
      <w:r>
        <w:rPr>
          <w:lang w:eastAsia="ru-RU"/>
        </w:rPr>
        <w:t>.</w:t>
      </w:r>
    </w:p>
    <w:p w:rsidR="00AB3AC3" w:rsidRDefault="00102ECB">
      <w:pPr>
        <w:ind w:firstLine="720"/>
        <w:jc w:val="both"/>
        <w:rPr>
          <w:lang w:eastAsia="ru-RU"/>
        </w:rPr>
      </w:pPr>
      <w:r>
        <w:rPr>
          <w:lang w:eastAsia="ru-RU"/>
        </w:rPr>
        <w:t>27.02.2026 ИП Г</w:t>
      </w:r>
      <w:r w:rsidRPr="00102ECB">
        <w:rPr>
          <w:lang w:eastAsia="ru-RU"/>
        </w:rPr>
        <w:t xml:space="preserve">&lt;…&gt; </w:t>
      </w:r>
      <w:r>
        <w:rPr>
          <w:lang w:eastAsia="ru-RU"/>
        </w:rPr>
        <w:t xml:space="preserve">был признан уклонившимся от заключения контракта в связи с </w:t>
      </w:r>
      <w:proofErr w:type="spellStart"/>
      <w:r>
        <w:rPr>
          <w:lang w:eastAsia="ru-RU"/>
        </w:rPr>
        <w:t>неподписанием</w:t>
      </w:r>
      <w:proofErr w:type="spellEnd"/>
      <w:r>
        <w:rPr>
          <w:lang w:eastAsia="ru-RU"/>
        </w:rPr>
        <w:t xml:space="preserve"> контракта в установленный срок.</w:t>
      </w:r>
    </w:p>
    <w:p w:rsidR="00AB3AC3" w:rsidRDefault="00AB3AC3">
      <w:pPr>
        <w:ind w:firstLine="720"/>
        <w:jc w:val="both"/>
        <w:rPr>
          <w:lang w:eastAsia="ru-RU"/>
        </w:rPr>
      </w:pPr>
    </w:p>
    <w:p w:rsidR="00AB3AC3" w:rsidRDefault="00102ECB">
      <w:pPr>
        <w:ind w:firstLine="720"/>
        <w:jc w:val="both"/>
        <w:rPr>
          <w:lang w:eastAsia="ru-RU"/>
        </w:rPr>
      </w:pPr>
      <w:proofErr w:type="spellStart"/>
      <w:r>
        <w:rPr>
          <w:lang w:eastAsia="ru-RU"/>
        </w:rPr>
        <w:t>Вх</w:t>
      </w:r>
      <w:proofErr w:type="spellEnd"/>
      <w:r>
        <w:rPr>
          <w:lang w:eastAsia="ru-RU"/>
        </w:rPr>
        <w:t>. № 1109-ЭП/26 от 27.02.2026 (дата поступления в ЕИС – 27.02.2026) в Ульяновское УФАС России поступило обращение ГКУУО «Обеспечение судебных участков» о включении сведений в отношении ИП Г</w:t>
      </w:r>
      <w:r w:rsidRPr="00102ECB">
        <w:rPr>
          <w:lang w:eastAsia="ru-RU"/>
        </w:rPr>
        <w:t xml:space="preserve">&lt;…&gt; </w:t>
      </w:r>
      <w:r>
        <w:rPr>
          <w:lang w:eastAsia="ru-RU"/>
        </w:rPr>
        <w:t>в реестр недобросовестных поставщиков.</w:t>
      </w:r>
    </w:p>
    <w:p w:rsidR="00AB3AC3" w:rsidRDefault="00AB3AC3">
      <w:pPr>
        <w:ind w:firstLine="720"/>
        <w:jc w:val="both"/>
        <w:rPr>
          <w:lang w:eastAsia="ru-RU"/>
        </w:rPr>
      </w:pPr>
    </w:p>
    <w:p w:rsidR="00AB3AC3" w:rsidRDefault="00102ECB">
      <w:pPr>
        <w:ind w:firstLine="720"/>
        <w:jc w:val="both"/>
      </w:pPr>
      <w:proofErr w:type="spellStart"/>
      <w:r>
        <w:rPr>
          <w:lang w:eastAsia="ru-RU"/>
        </w:rPr>
        <w:t>Вх</w:t>
      </w:r>
      <w:proofErr w:type="spellEnd"/>
      <w:r>
        <w:rPr>
          <w:lang w:eastAsia="ru-RU"/>
        </w:rPr>
        <w:t>. № 1161-ЭП/26 от 02.03.2026 в Ульяновское УФАС России от ГКУУО «Обеспечение судебных участков»</w:t>
      </w:r>
      <w:r>
        <w:t xml:space="preserve"> </w:t>
      </w:r>
      <w:r>
        <w:rPr>
          <w:lang w:eastAsia="ru-RU"/>
        </w:rPr>
        <w:t>поступили дополнения к обращению (документы и сведения, подтверждающие факт надлежащей передачи и получения участником проекта контракта). Кроме того, ГКУУО «Обеспечение судебных участков» просило рассмотреть обращение в отсутствие представителя заказчика.</w:t>
      </w:r>
    </w:p>
    <w:p w:rsidR="00AB3AC3" w:rsidRDefault="00AB3AC3">
      <w:pPr>
        <w:ind w:firstLine="720"/>
        <w:jc w:val="both"/>
        <w:rPr>
          <w:lang w:eastAsia="ru-RU"/>
        </w:rPr>
      </w:pPr>
    </w:p>
    <w:p w:rsidR="00AB3AC3" w:rsidRDefault="00102ECB">
      <w:pPr>
        <w:ind w:firstLine="720"/>
        <w:jc w:val="both"/>
      </w:pPr>
      <w:proofErr w:type="spellStart"/>
      <w:r>
        <w:rPr>
          <w:lang w:eastAsia="ru-RU"/>
        </w:rPr>
        <w:t>Вх</w:t>
      </w:r>
      <w:proofErr w:type="spellEnd"/>
      <w:r>
        <w:rPr>
          <w:lang w:eastAsia="ru-RU"/>
        </w:rPr>
        <w:t>. № 1256-ЭП/26, № 1266-ЭП/26 и № 1282-ЭП/26 от 05.03.2026 в Ульяновское УФАС России от</w:t>
      </w:r>
      <w:r>
        <w:t xml:space="preserve"> </w:t>
      </w:r>
      <w:r>
        <w:rPr>
          <w:lang w:eastAsia="ru-RU"/>
        </w:rPr>
        <w:t>ИП Г</w:t>
      </w:r>
      <w:r w:rsidRPr="00102ECB">
        <w:rPr>
          <w:lang w:eastAsia="ru-RU"/>
        </w:rPr>
        <w:t xml:space="preserve">&lt;…&gt; </w:t>
      </w:r>
      <w:r>
        <w:rPr>
          <w:lang w:eastAsia="ru-RU"/>
        </w:rPr>
        <w:t>поступили копии документов и письменные пояснения, содержащие указание, в том числе на следующее.</w:t>
      </w:r>
    </w:p>
    <w:p w:rsidR="00AB3AC3" w:rsidRDefault="00102ECB">
      <w:pPr>
        <w:ind w:firstLine="720"/>
        <w:jc w:val="both"/>
        <w:rPr>
          <w:lang w:eastAsia="ru-RU"/>
        </w:rPr>
      </w:pPr>
      <w:proofErr w:type="spellStart"/>
      <w:r>
        <w:rPr>
          <w:lang w:eastAsia="ru-RU"/>
        </w:rPr>
        <w:t>Неподписание</w:t>
      </w:r>
      <w:proofErr w:type="spellEnd"/>
      <w:r>
        <w:rPr>
          <w:lang w:eastAsia="ru-RU"/>
        </w:rPr>
        <w:t xml:space="preserve"> контракта в регламентированный срок было непреднамеренным, в связи с возникшими непредвиденными обстоятельствами – технической неисправности системного блока компьютера, а также в виду внезапно возникшей неисправности ЭЦП.</w:t>
      </w:r>
    </w:p>
    <w:p w:rsidR="00AB3AC3" w:rsidRDefault="00102ECB">
      <w:pPr>
        <w:ind w:firstLine="720"/>
        <w:jc w:val="both"/>
        <w:rPr>
          <w:lang w:eastAsia="ru-RU"/>
        </w:rPr>
      </w:pPr>
      <w:r>
        <w:rPr>
          <w:lang w:eastAsia="ru-RU"/>
        </w:rPr>
        <w:t>Предприниматель является добросовестным исполнителем многочисленных контрактов, имеет возможность выполнить контракт.  В связи с вышеизложенным, он просит сведения в отношении него не включать в реестр недобросовестных поставщиков.</w:t>
      </w:r>
    </w:p>
    <w:p w:rsidR="00AB3AC3" w:rsidRDefault="00AB3AC3">
      <w:pPr>
        <w:ind w:firstLine="720"/>
        <w:jc w:val="both"/>
        <w:rPr>
          <w:lang w:eastAsia="ru-RU"/>
        </w:rPr>
      </w:pPr>
    </w:p>
    <w:p w:rsidR="00AB3AC3" w:rsidRDefault="00102ECB">
      <w:pPr>
        <w:ind w:firstLine="720"/>
        <w:jc w:val="both"/>
        <w:rPr>
          <w:lang w:eastAsia="ru-RU"/>
        </w:rPr>
      </w:pPr>
      <w:r>
        <w:rPr>
          <w:lang w:eastAsia="ru-RU"/>
        </w:rPr>
        <w:t>На заседании Комиссии 05.03.2026 представитель ИП Г</w:t>
      </w:r>
      <w:r w:rsidRPr="00102ECB">
        <w:rPr>
          <w:lang w:eastAsia="ru-RU"/>
        </w:rPr>
        <w:t xml:space="preserve">&lt;…&gt; </w:t>
      </w:r>
      <w:r>
        <w:rPr>
          <w:lang w:eastAsia="ru-RU"/>
        </w:rPr>
        <w:t>поддержал ранее направленные письменные пояснения.</w:t>
      </w:r>
    </w:p>
    <w:p w:rsidR="00AB3AC3" w:rsidRDefault="00AB3AC3">
      <w:pPr>
        <w:ind w:firstLine="720"/>
        <w:jc w:val="both"/>
        <w:rPr>
          <w:lang w:eastAsia="ru-RU"/>
        </w:rPr>
      </w:pPr>
    </w:p>
    <w:p w:rsidR="00AB3AC3" w:rsidRDefault="00102ECB">
      <w:pPr>
        <w:ind w:firstLine="720"/>
        <w:jc w:val="both"/>
        <w:rPr>
          <w:lang w:eastAsia="ru-RU"/>
        </w:rPr>
      </w:pPr>
      <w:r>
        <w:rPr>
          <w:lang w:eastAsia="ru-RU"/>
        </w:rPr>
        <w:t>Рассмотрев имеющиеся материалы, Комиссия решила сведения в отношении ИП Г</w:t>
      </w:r>
      <w:r w:rsidRPr="00102ECB">
        <w:rPr>
          <w:lang w:eastAsia="ru-RU"/>
        </w:rPr>
        <w:t xml:space="preserve">&lt;…&gt; </w:t>
      </w:r>
      <w:r>
        <w:rPr>
          <w:lang w:eastAsia="ru-RU"/>
        </w:rPr>
        <w:t>в реестр недобросовестных поставщиков не включать.  При этом Комиссия исходила из следующего.</w:t>
      </w:r>
    </w:p>
    <w:p w:rsidR="00AB3AC3" w:rsidRDefault="00102ECB">
      <w:pPr>
        <w:spacing w:line="256" w:lineRule="auto"/>
        <w:ind w:firstLine="709"/>
        <w:jc w:val="both"/>
      </w:pPr>
      <w:r>
        <w:t xml:space="preserve">Согласно части 2 статьи 51 Закона о контрактной системе </w:t>
      </w:r>
      <w:r>
        <w:rPr>
          <w:rFonts w:eastAsia="Calibri"/>
        </w:rPr>
        <w:t xml:space="preserve">не позднее </w:t>
      </w:r>
      <w:r>
        <w:rPr>
          <w:rFonts w:eastAsia="Calibri"/>
          <w:i/>
        </w:rPr>
        <w:t>двух рабочих дней</w:t>
      </w:r>
      <w:r>
        <w:rPr>
          <w:rFonts w:eastAsia="Calibri"/>
        </w:rPr>
        <w:t xml:space="preserve">, следующих за днем размещения в единой информационной системе протоколов, указанных в </w:t>
      </w:r>
      <w:hyperlink r:id="rId10">
        <w:r>
          <w:rPr>
            <w:rFonts w:eastAsia="Calibri"/>
          </w:rPr>
          <w:t>части 1</w:t>
        </w:r>
      </w:hyperlink>
      <w:r>
        <w:rPr>
          <w:rFonts w:eastAsia="Calibri"/>
        </w:rPr>
        <w:t xml:space="preserve"> </w:t>
      </w:r>
      <w:r>
        <w:t xml:space="preserve">статьи 51 Закона о контрактной системе, </w:t>
      </w:r>
      <w:r>
        <w:rPr>
          <w:rFonts w:eastAsia="Calibri"/>
        </w:rPr>
        <w:t xml:space="preserve">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r:id="rId11">
        <w:r>
          <w:rPr>
            <w:rFonts w:eastAsia="Calibri"/>
          </w:rPr>
          <w:t>пункте 5 части 2 статьи 42</w:t>
        </w:r>
      </w:hyperlink>
      <w:r>
        <w:rPr>
          <w:rFonts w:eastAsia="Calibri"/>
        </w:rPr>
        <w:t xml:space="preserve"> </w:t>
      </w:r>
      <w:r>
        <w:t>Закона о контрактной системе.</w:t>
      </w:r>
    </w:p>
    <w:p w:rsidR="00AB3AC3" w:rsidRDefault="00102ECB">
      <w:pPr>
        <w:spacing w:line="256" w:lineRule="auto"/>
        <w:ind w:firstLine="709"/>
        <w:jc w:val="both"/>
      </w:pPr>
      <w:r>
        <w:t xml:space="preserve">В соответствии с представленной заказчиком и участником информацией с личного кабинета электронной площадки, отражающей этапы заключения контракта по указанному электронному аукциону, </w:t>
      </w:r>
      <w:r>
        <w:rPr>
          <w:lang w:eastAsia="ru-RU"/>
        </w:rPr>
        <w:t xml:space="preserve">ГКУУО «Обеспечение судебных участков» </w:t>
      </w:r>
      <w:r>
        <w:rPr>
          <w:b/>
          <w:bCs/>
          <w:i/>
          <w:iCs/>
        </w:rPr>
        <w:t>16.0</w:t>
      </w:r>
      <w:r>
        <w:rPr>
          <w:b/>
          <w:i/>
        </w:rPr>
        <w:t>2.2026</w:t>
      </w:r>
      <w:r>
        <w:t xml:space="preserve"> </w:t>
      </w:r>
      <w:r>
        <w:rPr>
          <w:lang w:eastAsia="ru-RU"/>
        </w:rPr>
        <w:t>ИП Г</w:t>
      </w:r>
      <w:r w:rsidRPr="00102ECB">
        <w:rPr>
          <w:lang w:eastAsia="ru-RU"/>
        </w:rPr>
        <w:t xml:space="preserve">&lt;…&gt; </w:t>
      </w:r>
      <w:r>
        <w:t>был направлен проект контракта для подписания</w:t>
      </w:r>
      <w:r>
        <w:rPr>
          <w:i/>
        </w:rPr>
        <w:t>.</w:t>
      </w:r>
    </w:p>
    <w:p w:rsidR="00AB3AC3" w:rsidRDefault="00102ECB">
      <w:pPr>
        <w:spacing w:line="256" w:lineRule="auto"/>
        <w:ind w:firstLine="709"/>
        <w:jc w:val="both"/>
      </w:pPr>
      <w:r>
        <w:rPr>
          <w:rFonts w:eastAsia="Calibri"/>
        </w:rPr>
        <w:lastRenderedPageBreak/>
        <w:t xml:space="preserve">Согласно части 3 статьи 51 Закона о контрактной системе </w:t>
      </w:r>
      <w:r>
        <w:rPr>
          <w:rFonts w:eastAsia="Calibri"/>
          <w:i/>
        </w:rPr>
        <w:t>не позднее пяти рабочих дней</w:t>
      </w:r>
      <w:r>
        <w:rPr>
          <w:rFonts w:eastAsia="Calibri"/>
        </w:rPr>
        <w:t xml:space="preserve">, следующих за днем размещения заказчиком в соответствии с </w:t>
      </w:r>
      <w:hyperlink r:id="rId12">
        <w:r>
          <w:rPr>
            <w:rFonts w:eastAsia="Calibri"/>
          </w:rPr>
          <w:t>частью 2</w:t>
        </w:r>
      </w:hyperlink>
      <w:r>
        <w:rPr>
          <w:rFonts w:eastAsia="Calibri"/>
        </w:rPr>
        <w:t xml:space="preserve"> статьи 51 Закона о контрактной системе проекта контракта, </w:t>
      </w:r>
      <w:r>
        <w:rPr>
          <w:rFonts w:eastAsia="Calibri"/>
          <w:i/>
        </w:rPr>
        <w:t>участник закупки</w:t>
      </w:r>
      <w:r>
        <w:rPr>
          <w:rFonts w:eastAsia="Calibri"/>
        </w:rPr>
        <w:t>, с которым заключается контракт, осуществляет одно из следующих действий:</w:t>
      </w:r>
    </w:p>
    <w:p w:rsidR="00AB3AC3" w:rsidRDefault="00102ECB">
      <w:pPr>
        <w:spacing w:line="256" w:lineRule="auto"/>
        <w:ind w:firstLine="709"/>
        <w:jc w:val="both"/>
      </w:pPr>
      <w:r>
        <w:rPr>
          <w:rFonts w:eastAsia="Calibri"/>
        </w:rPr>
        <w:t xml:space="preserve">1) </w:t>
      </w:r>
      <w:r>
        <w:rPr>
          <w:rFonts w:eastAsia="Calibri"/>
          <w:i/>
        </w:rPr>
        <w:t>подписывает усиленной электронной подписью лица</w:t>
      </w:r>
      <w:r>
        <w:rPr>
          <w:rFonts w:eastAsia="Calibri"/>
        </w:rPr>
        <w:t xml:space="preserve">, имеющего право действовать от имени участника закупки, </w:t>
      </w:r>
      <w:r>
        <w:rPr>
          <w:rFonts w:eastAsia="Calibri"/>
          <w:i/>
        </w:rPr>
        <w:t>проект контракта</w:t>
      </w:r>
      <w:r>
        <w:rPr>
          <w:rFonts w:eastAsia="Calibri"/>
        </w:rPr>
        <w:t xml:space="preserve"> </w:t>
      </w:r>
      <w:r>
        <w:rPr>
          <w:rFonts w:eastAsia="Calibri"/>
          <w:i/>
        </w:rPr>
        <w:t>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w:t>
      </w:r>
      <w:r>
        <w:rPr>
          <w:rFonts w:eastAsia="Calibri"/>
        </w:rPr>
        <w:t xml:space="preserve"> в соответствии с Законом о контрактной системе (за исключением случаев, предусмотренных настоящим Законом о контрактной системе).  При этом такой участник закупки:</w:t>
      </w:r>
    </w:p>
    <w:p w:rsidR="00AB3AC3" w:rsidRDefault="00102ECB">
      <w:pPr>
        <w:spacing w:line="256" w:lineRule="auto"/>
        <w:ind w:firstLine="709"/>
        <w:jc w:val="both"/>
      </w:pPr>
      <w:r>
        <w:rPr>
          <w:rFonts w:eastAsia="Calibri"/>
        </w:rPr>
        <w:t xml:space="preserve">а) в случаях, предусмотренных </w:t>
      </w:r>
      <w:hyperlink r:id="rId13">
        <w:r>
          <w:rPr>
            <w:rFonts w:eastAsia="Calibri"/>
          </w:rPr>
          <w:t>статьей 37</w:t>
        </w:r>
      </w:hyperlink>
      <w:r>
        <w:rPr>
          <w:rFonts w:eastAsia="Calibri"/>
        </w:rPr>
        <w:t xml:space="preserve"> Закона о контрактной системе, одновременно представляет заказчику информацию и документы, предусмотренные указанной статьей;</w:t>
      </w:r>
    </w:p>
    <w:p w:rsidR="00AB3AC3" w:rsidRDefault="00102ECB">
      <w:pPr>
        <w:spacing w:line="256" w:lineRule="auto"/>
        <w:ind w:firstLine="709"/>
        <w:jc w:val="both"/>
        <w:rPr>
          <w:rFonts w:eastAsia="Calibri"/>
        </w:rPr>
      </w:pPr>
      <w:r>
        <w:rPr>
          <w:rFonts w:eastAsia="Calibri"/>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AB3AC3" w:rsidRDefault="00102ECB">
      <w:pPr>
        <w:spacing w:line="256" w:lineRule="auto"/>
        <w:ind w:firstLine="709"/>
        <w:jc w:val="both"/>
        <w:rPr>
          <w:rFonts w:eastAsia="Calibri"/>
        </w:rPr>
      </w:pPr>
      <w:r>
        <w:rPr>
          <w:rFonts w:eastAsia="Calibri"/>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AB3AC3" w:rsidRDefault="00102ECB">
      <w:pPr>
        <w:spacing w:line="256" w:lineRule="auto"/>
        <w:ind w:firstLine="709"/>
        <w:jc w:val="both"/>
      </w:pPr>
      <w:r>
        <w:rPr>
          <w:rFonts w:eastAsia="Calibri"/>
        </w:rPr>
        <w:t xml:space="preserve">а) </w:t>
      </w:r>
      <w:r>
        <w:rPr>
          <w:rFonts w:eastAsia="Calibri"/>
          <w:u w:val="single"/>
        </w:rPr>
        <w:t>наличие разногласий в отношении информации, включенной в проект контракта</w:t>
      </w:r>
      <w:r>
        <w:rPr>
          <w:rFonts w:eastAsia="Calibri"/>
        </w:rPr>
        <w:t xml:space="preserve"> в соответствии с </w:t>
      </w:r>
      <w:hyperlink r:id="rId14">
        <w:r>
          <w:rPr>
            <w:rFonts w:eastAsia="Calibri"/>
          </w:rPr>
          <w:t>пунктом 1 части 2</w:t>
        </w:r>
      </w:hyperlink>
      <w:r>
        <w:rPr>
          <w:rFonts w:eastAsia="Calibri"/>
        </w:rPr>
        <w:t xml:space="preserve"> статьи 51 Закона о контрактной системе,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AB3AC3" w:rsidRDefault="00102ECB">
      <w:pPr>
        <w:spacing w:line="256" w:lineRule="auto"/>
        <w:ind w:firstLine="709"/>
        <w:jc w:val="both"/>
      </w:pPr>
      <w:r>
        <w:rPr>
          <w:rFonts w:eastAsia="Calibri"/>
        </w:rPr>
        <w:t xml:space="preserve">б) несогласие заключить контракт, содержащий условия, предусмотренные </w:t>
      </w:r>
      <w:hyperlink r:id="rId15">
        <w:r>
          <w:rPr>
            <w:rFonts w:eastAsia="Calibri"/>
          </w:rPr>
          <w:t>пунктом 2 части 2</w:t>
        </w:r>
      </w:hyperlink>
      <w:r>
        <w:rPr>
          <w:rFonts w:eastAsia="Calibri"/>
        </w:rPr>
        <w:t xml:space="preserve"> статьи 51 Закона о контрактной системе;</w:t>
      </w:r>
    </w:p>
    <w:p w:rsidR="00AB3AC3" w:rsidRDefault="00102ECB">
      <w:pPr>
        <w:spacing w:line="256" w:lineRule="auto"/>
        <w:ind w:firstLine="709"/>
        <w:jc w:val="both"/>
      </w:pPr>
      <w:r>
        <w:rPr>
          <w:rFonts w:eastAsia="Calibri"/>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r:id="rId16">
        <w:r>
          <w:rPr>
            <w:rFonts w:eastAsia="Calibri"/>
          </w:rPr>
          <w:t>пунктом 1 части 17.2 статьи 95</w:t>
        </w:r>
      </w:hyperlink>
      <w:r>
        <w:rPr>
          <w:rFonts w:eastAsia="Calibri"/>
        </w:rPr>
        <w:t xml:space="preserve"> Закона о контрактной системе.</w:t>
      </w:r>
    </w:p>
    <w:p w:rsidR="00AB3AC3" w:rsidRDefault="00102ECB">
      <w:pPr>
        <w:spacing w:line="256" w:lineRule="auto"/>
        <w:ind w:firstLine="709"/>
        <w:jc w:val="both"/>
        <w:rPr>
          <w:rFonts w:eastAsia="Calibri"/>
        </w:rPr>
      </w:pPr>
      <w:r>
        <w:rPr>
          <w:rFonts w:eastAsia="Calibri"/>
        </w:rPr>
        <w:t>В соответствии с частью 4 статьи 96 Закона о контрактной системе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rsidR="00AB3AC3" w:rsidRDefault="00102ECB">
      <w:pPr>
        <w:ind w:firstLine="709"/>
        <w:jc w:val="both"/>
      </w:pPr>
      <w:r>
        <w:t xml:space="preserve">В данном случае регламентированный срок подписания контракта для участника закупки был установлен – </w:t>
      </w:r>
      <w:r>
        <w:rPr>
          <w:b/>
          <w:i/>
        </w:rPr>
        <w:t>24.02.2026 в 23 час. 59 мин.</w:t>
      </w:r>
      <w:r>
        <w:t xml:space="preserve"> (МСК).</w:t>
      </w:r>
    </w:p>
    <w:p w:rsidR="00AB3AC3" w:rsidRDefault="00102ECB">
      <w:pPr>
        <w:ind w:firstLine="709"/>
        <w:jc w:val="both"/>
      </w:pPr>
      <w:r>
        <w:rPr>
          <w:b/>
          <w:i/>
        </w:rPr>
        <w:t>24.02.2026</w:t>
      </w:r>
      <w:r>
        <w:t xml:space="preserve"> </w:t>
      </w:r>
      <w:r>
        <w:rPr>
          <w:lang w:eastAsia="ru-RU"/>
        </w:rPr>
        <w:t>ИП Г</w:t>
      </w:r>
      <w:r w:rsidRPr="00102ECB">
        <w:rPr>
          <w:lang w:eastAsia="ru-RU"/>
        </w:rPr>
        <w:t>&lt;…&gt;</w:t>
      </w:r>
      <w:r>
        <w:rPr>
          <w:lang w:eastAsia="ru-RU"/>
        </w:rPr>
        <w:t xml:space="preserve"> </w:t>
      </w:r>
      <w:r>
        <w:t>был размещен протокол разногласий в части положений проекта контракта.</w:t>
      </w:r>
    </w:p>
    <w:p w:rsidR="00AB3AC3" w:rsidRDefault="00102ECB">
      <w:pPr>
        <w:ind w:firstLine="709"/>
        <w:jc w:val="both"/>
      </w:pPr>
      <w:r>
        <w:t xml:space="preserve">В соответствии с частью 4 статьи 51 Закона о контрактной системе </w:t>
      </w:r>
      <w:r>
        <w:rPr>
          <w:i/>
        </w:rPr>
        <w:t>не позднее двух рабочих дней</w:t>
      </w:r>
      <w:r>
        <w:t>, следующих за днем размещения участником закупки, с которым заключается контракт, информации и документов в соответствии с частью 3 статьи 51 Закона о контрактной системе, заказчик осуществляет одно из следующих действий:</w:t>
      </w:r>
    </w:p>
    <w:p w:rsidR="00AB3AC3" w:rsidRDefault="00102ECB">
      <w:pPr>
        <w:ind w:firstLine="709"/>
        <w:jc w:val="both"/>
      </w:pPr>
      <w:r>
        <w:t xml:space="preserve">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статьи 51 Закона о </w:t>
      </w:r>
      <w:r>
        <w:lastRenderedPageBreak/>
        <w:t>контрактной системе.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AB3AC3" w:rsidRDefault="00102ECB">
      <w:pPr>
        <w:ind w:firstLine="709"/>
        <w:jc w:val="both"/>
      </w:pPr>
      <w: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статьи 51 Закона о контрактной системе;</w:t>
      </w:r>
    </w:p>
    <w:p w:rsidR="00AB3AC3" w:rsidRDefault="00102ECB">
      <w:pPr>
        <w:ind w:firstLine="709"/>
        <w:jc w:val="both"/>
      </w:pPr>
      <w: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статьи 51 Закона о контрактной системе.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статьи 51 Закона о контрактной системе, подлежит обязательному учету.</w:t>
      </w:r>
    </w:p>
    <w:p w:rsidR="00AB3AC3" w:rsidRDefault="00102ECB">
      <w:pPr>
        <w:ind w:firstLine="709"/>
        <w:jc w:val="both"/>
      </w:pPr>
      <w:r>
        <w:rPr>
          <w:b/>
          <w:i/>
        </w:rPr>
        <w:t>25.02.2026</w:t>
      </w:r>
      <w:r>
        <w:t xml:space="preserve"> заказчик разместил доработанный проект контракта.</w:t>
      </w:r>
    </w:p>
    <w:p w:rsidR="00AB3AC3" w:rsidRDefault="00102ECB">
      <w:pPr>
        <w:ind w:firstLine="709"/>
        <w:jc w:val="both"/>
      </w:pPr>
      <w:r>
        <w:t xml:space="preserve">В соответствии с частью 5 статьи 51 Закона о контрактной системе </w:t>
      </w:r>
      <w:r>
        <w:rPr>
          <w:i/>
        </w:rPr>
        <w:t>не позднее одного рабочего дня</w:t>
      </w:r>
      <w:r>
        <w:t>, следующего за датой размещения заказчиком информации и документов в соответствии с пунктом 2 или 3 части 4 статьи 51 Закона о контрактной системе, участник закупки, с которым заключается контракт, осуществляет действия, предусмотренные пунктом 1 части 3 статьи 51 Закона о контрактной системе.</w:t>
      </w:r>
    </w:p>
    <w:p w:rsidR="00AB3AC3" w:rsidRDefault="00102ECB">
      <w:pPr>
        <w:ind w:firstLine="709"/>
        <w:jc w:val="both"/>
      </w:pPr>
      <w:r>
        <w:t xml:space="preserve">Регламентированный срок подписания контракта был установлен – </w:t>
      </w:r>
      <w:r>
        <w:rPr>
          <w:b/>
          <w:i/>
        </w:rPr>
        <w:t>26.02.2026 в 23 час. 59 мин.</w:t>
      </w:r>
    </w:p>
    <w:p w:rsidR="00AB3AC3" w:rsidRDefault="00102ECB">
      <w:pPr>
        <w:ind w:firstLine="709"/>
        <w:jc w:val="both"/>
      </w:pPr>
      <w:r>
        <w:t xml:space="preserve">Вместе с тем, в установленный срок </w:t>
      </w:r>
      <w:r>
        <w:rPr>
          <w:lang w:eastAsia="ru-RU"/>
        </w:rPr>
        <w:t>ИП Г</w:t>
      </w:r>
      <w:r w:rsidRPr="00102ECB">
        <w:rPr>
          <w:lang w:eastAsia="ru-RU"/>
        </w:rPr>
        <w:t xml:space="preserve">&lt;…&gt; </w:t>
      </w:r>
      <w:r>
        <w:t>не направил подписанный со своей стороны проект контракта.</w:t>
      </w:r>
    </w:p>
    <w:p w:rsidR="00AB3AC3" w:rsidRDefault="00102ECB">
      <w:pPr>
        <w:ind w:firstLine="709"/>
        <w:jc w:val="both"/>
      </w:pPr>
      <w:r>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статьи 51 Закона о контрактной системе, а также случая, если таким участником закупки в срок, установленный частью 3 статьи 51 Закона о контрактной системе, не выполнены требования пункта 3 части 3 статьи 51 Закона о контрактной системе) и частью 5 статьи 51 Закона о контрактной системе:</w:t>
      </w:r>
    </w:p>
    <w:p w:rsidR="00AB3AC3" w:rsidRDefault="00102ECB">
      <w:pPr>
        <w:ind w:firstLine="709"/>
        <w:jc w:val="both"/>
      </w:pPr>
      <w:r>
        <w:t>1) такой участник закупки считается уклонившимся от заключения контракта;</w:t>
      </w:r>
    </w:p>
    <w:p w:rsidR="00AB3AC3" w:rsidRDefault="00102ECB">
      <w:pPr>
        <w:ind w:firstLine="709"/>
        <w:jc w:val="both"/>
      </w:pPr>
      <w:r>
        <w:t>2)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системе:</w:t>
      </w:r>
    </w:p>
    <w:p w:rsidR="00AB3AC3" w:rsidRDefault="00102ECB">
      <w:pPr>
        <w:ind w:firstLine="709"/>
        <w:jc w:val="both"/>
      </w:pPr>
      <w:r>
        <w:t xml:space="preserve">а) формирует с использованием единой информационной системы и подписывает </w:t>
      </w:r>
      <w:proofErr w:type="spellStart"/>
      <w:r>
        <w:t>уси</w:t>
      </w:r>
      <w:proofErr w:type="spellEnd"/>
      <w:r>
        <w:t xml:space="preserve">-ленной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w:t>
      </w:r>
      <w:r>
        <w:lastRenderedPageBreak/>
        <w:t>выполненные участником закупки;</w:t>
      </w:r>
    </w:p>
    <w:p w:rsidR="00AB3AC3" w:rsidRDefault="00102ECB">
      <w:pPr>
        <w:ind w:firstLine="709"/>
        <w:jc w:val="both"/>
      </w:pPr>
      <w:r>
        <w:t>б) формирует и направляет в соответствии с порядком, предусмотренным частью 10 статьи 104 Закона о контрактной системе,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B3AC3" w:rsidRDefault="00102ECB">
      <w:pPr>
        <w:ind w:firstLine="709"/>
        <w:jc w:val="both"/>
      </w:pPr>
      <w:r>
        <w:t>3) оператор электронной площадки не позднее одного часа с момента размещения в соответствии с подпунктом «а» пункта 2 части 6 статьи 51 Закона о контрактной системе протокола об уклонении участника закупки от заключения контракта направляет такому участнику закупки уведомление о таком размещении.</w:t>
      </w:r>
    </w:p>
    <w:p w:rsidR="00AB3AC3" w:rsidRDefault="00102ECB">
      <w:pPr>
        <w:ind w:firstLine="709"/>
        <w:jc w:val="both"/>
      </w:pPr>
      <w:r>
        <w:rPr>
          <w:b/>
          <w:i/>
        </w:rPr>
        <w:t xml:space="preserve">27.02.2026 </w:t>
      </w:r>
      <w:r>
        <w:rPr>
          <w:lang w:eastAsia="ru-RU"/>
        </w:rPr>
        <w:t>ИП Г</w:t>
      </w:r>
      <w:r w:rsidRPr="00102ECB">
        <w:rPr>
          <w:lang w:eastAsia="ru-RU"/>
        </w:rPr>
        <w:t>&lt;…&gt;</w:t>
      </w:r>
      <w:r>
        <w:t xml:space="preserve"> был признан </w:t>
      </w:r>
      <w:proofErr w:type="gramStart"/>
      <w:r>
        <w:t>заказчиком</w:t>
      </w:r>
      <w:proofErr w:type="gramEnd"/>
      <w:r>
        <w:t xml:space="preserve"> уклонившимся от заключения контракта в связи с </w:t>
      </w:r>
      <w:proofErr w:type="spellStart"/>
      <w:r>
        <w:t>ненаправлением</w:t>
      </w:r>
      <w:proofErr w:type="spellEnd"/>
      <w:r>
        <w:t xml:space="preserve"> подписанного проекта контракта в регламентированный срок.</w:t>
      </w:r>
    </w:p>
    <w:p w:rsidR="00AB3AC3" w:rsidRDefault="00AB3AC3">
      <w:pPr>
        <w:spacing w:line="256" w:lineRule="auto"/>
        <w:ind w:firstLine="709"/>
        <w:jc w:val="both"/>
      </w:pPr>
    </w:p>
    <w:p w:rsidR="00AB3AC3" w:rsidRDefault="00102ECB">
      <w:pPr>
        <w:ind w:firstLine="720"/>
        <w:jc w:val="both"/>
      </w:pPr>
      <w:r>
        <w:rPr>
          <w:i/>
          <w:lang w:eastAsia="ru-RU"/>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w:t>
      </w:r>
      <w:r>
        <w:rPr>
          <w:lang w:eastAsia="ru-RU"/>
        </w:rPr>
        <w:t>,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AB3AC3" w:rsidRDefault="00102ECB">
      <w:pPr>
        <w:ind w:firstLine="720"/>
        <w:jc w:val="both"/>
        <w:rPr>
          <w:lang w:eastAsia="ru-RU"/>
        </w:rPr>
      </w:pPr>
      <w:r>
        <w:rPr>
          <w:lang w:eastAsia="ru-RU"/>
        </w:rPr>
        <w:t>Вместе с тем, включение сведений в реестр недобросовестных поставщиков является санкцией за недобросовестное поведение участника закупки, выражающееся в намеренном уклонении от подписания контракта.</w:t>
      </w:r>
    </w:p>
    <w:p w:rsidR="00AB3AC3" w:rsidRDefault="00102ECB">
      <w:pPr>
        <w:ind w:firstLine="720"/>
        <w:jc w:val="both"/>
        <w:rPr>
          <w:lang w:eastAsia="ru-RU"/>
        </w:rPr>
      </w:pPr>
      <w:r>
        <w:rPr>
          <w:lang w:eastAsia="ru-RU"/>
        </w:rPr>
        <w:t>Размещение сведений об участнике закупки в реестре недобросовестных поставщиков осуществляется лишь в случае, если антимонопольный орган в результате проведенной проверки установит факт недобросовестного уклонения участника закупки от подписания контракта.</w:t>
      </w:r>
    </w:p>
    <w:p w:rsidR="00AB3AC3" w:rsidRDefault="00102ECB">
      <w:pPr>
        <w:ind w:firstLine="720"/>
        <w:jc w:val="both"/>
        <w:rPr>
          <w:lang w:eastAsia="ru-RU"/>
        </w:rPr>
      </w:pPr>
      <w:r>
        <w:rPr>
          <w:lang w:eastAsia="ru-RU"/>
        </w:rPr>
        <w:t>При этом ни Закон о контрактной системе, ни Правила ведения реестра недобросовестных поставщиков (подрядчиков, исполнителей), утвержденные постановлением Правительства Российской Федерации от 30.06.2021 № 1078, не содержат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rsidR="00AB3AC3" w:rsidRDefault="00102ECB">
      <w:pPr>
        <w:ind w:firstLine="720"/>
        <w:jc w:val="both"/>
        <w:rPr>
          <w:lang w:eastAsia="ru-RU"/>
        </w:rPr>
      </w:pPr>
      <w:r>
        <w:rPr>
          <w:lang w:eastAsia="ru-RU"/>
        </w:rPr>
        <w:t>Под недобросовестностью понимается совершение умышленных действий, направленных на уклонение от подписания контракта.</w:t>
      </w:r>
    </w:p>
    <w:p w:rsidR="00AB3AC3" w:rsidRDefault="00102ECB">
      <w:pPr>
        <w:ind w:firstLine="720"/>
        <w:jc w:val="both"/>
      </w:pPr>
      <w:r>
        <w:t>В соответствии с пунктом 14 Правил ведения реестра недобросовестных поставщиков (подрядчиков, исполнителей), утвержденных постановлением Правительства Российской Федерации от 30.06.2021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Правил, выявлено хотя бы одно из следующих обстоятельств:</w:t>
      </w:r>
      <w:bookmarkStart w:id="1" w:name="l370"/>
    </w:p>
    <w:p w:rsidR="00AB3AC3" w:rsidRDefault="00102ECB">
      <w:pPr>
        <w:ind w:firstLine="720"/>
        <w:jc w:val="both"/>
      </w:pPr>
      <w: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bookmarkStart w:id="2" w:name="l482"/>
    </w:p>
    <w:p w:rsidR="00AB3AC3" w:rsidRDefault="00102ECB">
      <w:pPr>
        <w:ind w:firstLine="720"/>
        <w:jc w:val="both"/>
      </w:pPr>
      <w:r>
        <w:t>- к определению такого участника закупки лицом, с которым заключается контракт;</w:t>
      </w:r>
      <w:bookmarkStart w:id="3" w:name="l449"/>
    </w:p>
    <w:p w:rsidR="00AB3AC3" w:rsidRDefault="00102ECB">
      <w:pPr>
        <w:ind w:firstLine="720"/>
        <w:jc w:val="both"/>
      </w:pPr>
      <w:r>
        <w:t>- 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AB3AC3" w:rsidRDefault="00102ECB">
      <w:pPr>
        <w:ind w:firstLine="720"/>
        <w:jc w:val="both"/>
      </w:pPr>
      <w:r>
        <w:t>б)</w:t>
      </w:r>
      <w:r>
        <w:rPr>
          <w:i/>
        </w:rPr>
        <w:t xml:space="preserve"> участником закупки в срок до признания его в соответствии с Федеральным </w:t>
      </w:r>
      <w:hyperlink r:id="rId17" w:anchor="_blank" w:history="1">
        <w:r>
          <w:rPr>
            <w:rStyle w:val="a3"/>
            <w:i/>
            <w:u w:val="none"/>
            <w:lang w:eastAsia="en-US" w:bidi="ar-SA"/>
          </w:rPr>
          <w:t>законом</w:t>
        </w:r>
      </w:hyperlink>
      <w:r>
        <w:rPr>
          <w:i/>
        </w:rPr>
        <w:t> уклонившимся от заключения контракта осуществлены действия, свидетельствующие об отсутствии намерения уклониться от заключения контракта</w:t>
      </w:r>
      <w:r>
        <w:t>;</w:t>
      </w:r>
      <w:bookmarkStart w:id="4" w:name="l371"/>
    </w:p>
    <w:p w:rsidR="00AB3AC3" w:rsidRDefault="00102ECB">
      <w:pPr>
        <w:ind w:firstLine="720"/>
        <w:jc w:val="both"/>
      </w:pPr>
      <w:r>
        <w:t>в) участником закупки не выполнены требования, предусмотренные Федеральным </w:t>
      </w:r>
      <w:hyperlink r:id="rId18" w:anchor="_blank" w:history="1">
        <w:r>
          <w:rPr>
            <w:rStyle w:val="a3"/>
            <w:u w:val="none"/>
            <w:lang w:eastAsia="en-US" w:bidi="ar-SA"/>
          </w:rPr>
          <w:t>законом</w:t>
        </w:r>
      </w:hyperlink>
      <w:r>
        <w:t xml:space="preserve">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w:t>
      </w:r>
      <w:r>
        <w:lastRenderedPageBreak/>
        <w:t>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w:t>
      </w:r>
      <w:hyperlink r:id="rId19" w:anchor="_blank" w:history="1">
        <w:r>
          <w:rPr>
            <w:rStyle w:val="a3"/>
            <w:u w:val="none"/>
            <w:lang w:eastAsia="en-US" w:bidi="ar-SA"/>
          </w:rPr>
          <w:t>законом</w:t>
        </w:r>
      </w:hyperlink>
      <w:r>
        <w:t> для заключения контракта, по причине введения санкций и (или) мер ограничительного характера в отношении заказчика</w:t>
      </w:r>
    </w:p>
    <w:p w:rsidR="00AB3AC3" w:rsidRDefault="00102ECB">
      <w:pPr>
        <w:ind w:firstLine="720"/>
        <w:jc w:val="both"/>
      </w:pPr>
      <w:r>
        <w:rPr>
          <w:lang w:eastAsia="ru-RU"/>
        </w:rPr>
        <w:t>В данном случае Комиссия Ульяновского УФАС России не может ограничиваться формальным установлением факта нарушения законодательства о контрактной системе, поскольку из анализа материалов дела следует, что у ИП Г</w:t>
      </w:r>
      <w:r w:rsidRPr="00102ECB">
        <w:rPr>
          <w:lang w:eastAsia="ru-RU"/>
        </w:rPr>
        <w:t xml:space="preserve">&lt;…&gt; </w:t>
      </w:r>
      <w:r>
        <w:rPr>
          <w:lang w:eastAsia="ru-RU"/>
        </w:rPr>
        <w:t>отсутствовало намерение уклоняться от надлежащего исполнения требований законодательства и это было связано с технической неисправностью системного блока компьютера</w:t>
      </w:r>
      <w:r>
        <w:t xml:space="preserve">, на котором установлены </w:t>
      </w:r>
      <w:r>
        <w:rPr>
          <w:lang w:eastAsia="ru-RU"/>
        </w:rPr>
        <w:t>ПО для работы с электронной подписью</w:t>
      </w:r>
      <w:r>
        <w:t>, что подтверждается актом экспертизы технического состояния от 25.02.2026.</w:t>
      </w:r>
    </w:p>
    <w:p w:rsidR="00AB3AC3" w:rsidRDefault="00102ECB">
      <w:pPr>
        <w:ind w:firstLine="720"/>
        <w:jc w:val="both"/>
        <w:rPr>
          <w:lang w:eastAsia="ru-RU"/>
        </w:rPr>
      </w:pPr>
      <w:r>
        <w:rPr>
          <w:lang w:eastAsia="ru-RU"/>
        </w:rPr>
        <w:t>Кроме того, согласно сведениям, размещенным в единой информационной системе («Реестр контрактов»), ИП Г</w:t>
      </w:r>
      <w:r w:rsidRPr="00102ECB">
        <w:rPr>
          <w:lang w:eastAsia="ru-RU"/>
        </w:rPr>
        <w:t>&lt;…&gt;</w:t>
      </w:r>
      <w:r>
        <w:rPr>
          <w:lang w:eastAsia="ru-RU"/>
        </w:rPr>
        <w:t xml:space="preserve"> является добросовестным исполнителем многочисленных контрактов.</w:t>
      </w:r>
    </w:p>
    <w:p w:rsidR="00AB3AC3" w:rsidRDefault="00102ECB">
      <w:pPr>
        <w:ind w:firstLine="720"/>
        <w:jc w:val="both"/>
        <w:rPr>
          <w:lang w:eastAsia="ru-RU"/>
        </w:rPr>
      </w:pPr>
      <w:r>
        <w:rPr>
          <w:lang w:eastAsia="ru-RU"/>
        </w:rPr>
        <w:t>Таким образом, Комиссия антимонопольного органа пришла к выводу, что в указанных обстоятельствах включение сведений об ИП Г</w:t>
      </w:r>
      <w:r w:rsidRPr="00102ECB">
        <w:rPr>
          <w:lang w:eastAsia="ru-RU"/>
        </w:rPr>
        <w:t>&lt;…&gt;</w:t>
      </w:r>
      <w:r>
        <w:rPr>
          <w:lang w:eastAsia="ru-RU"/>
        </w:rPr>
        <w:t xml:space="preserve"> в реестр не может рассматриваться в качестве необходимой меры ответственности и является несоразмерным характеру допущенного нарушения.</w:t>
      </w:r>
    </w:p>
    <w:p w:rsidR="00AB3AC3" w:rsidRDefault="00102ECB">
      <w:pPr>
        <w:ind w:firstLine="720"/>
        <w:jc w:val="both"/>
        <w:rPr>
          <w:lang w:eastAsia="ru-RU"/>
        </w:rPr>
      </w:pPr>
      <w:proofErr w:type="gramStart"/>
      <w:r>
        <w:rPr>
          <w:lang w:eastAsia="ru-RU"/>
        </w:rPr>
        <w:t>Учитывая изложенное, Комиссией Ульяновского УФАС России принято решение, сведения в отношении ИП Г</w:t>
      </w:r>
      <w:r w:rsidR="005C41F1" w:rsidRPr="005C41F1">
        <w:rPr>
          <w:lang w:eastAsia="ru-RU"/>
        </w:rPr>
        <w:t xml:space="preserve">&lt;…&gt; </w:t>
      </w:r>
      <w:r>
        <w:rPr>
          <w:lang w:eastAsia="ru-RU"/>
        </w:rPr>
        <w:t>в реестр недобросовестных поставщиков не включать.</w:t>
      </w:r>
      <w:proofErr w:type="gramEnd"/>
    </w:p>
    <w:p w:rsidR="00AB3AC3" w:rsidRDefault="00AB3AC3">
      <w:pPr>
        <w:ind w:firstLine="720"/>
        <w:jc w:val="both"/>
        <w:rPr>
          <w:lang w:eastAsia="ru-RU"/>
        </w:rPr>
      </w:pPr>
    </w:p>
    <w:p w:rsidR="00AB3AC3" w:rsidRDefault="00102ECB">
      <w:pPr>
        <w:ind w:firstLine="720"/>
        <w:jc w:val="both"/>
        <w:rPr>
          <w:lang w:eastAsia="ru-RU"/>
        </w:rPr>
      </w:pPr>
      <w:r>
        <w:rPr>
          <w:lang w:eastAsia="ru-RU"/>
        </w:rPr>
        <w:t>Относительно ходатайства ИП Г</w:t>
      </w:r>
      <w:r w:rsidR="005C41F1" w:rsidRPr="005C41F1">
        <w:rPr>
          <w:lang w:eastAsia="ru-RU"/>
        </w:rPr>
        <w:t xml:space="preserve">&lt;…&gt; </w:t>
      </w:r>
      <w:r>
        <w:rPr>
          <w:lang w:eastAsia="ru-RU"/>
        </w:rPr>
        <w:t>о направлении настоящего решения на электронные адреса, Ульяновское УФАС России сообщает, что действующим законодательством Российской Федерации, в том числе Правилами ведения реестра недобросовестных поставщиков (подрядчиков, исполнителей), утвержденных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Правила № 1078), Законом о контрактной системе, не предусмотрено направление решений с использованием электронной почты, так как в силу абзаца 2 подпункта «а» пункта 16 Правил № 1078 не позднее трех рабочих дней со дня, следующего за днем принятия органом контроля предусмотренного подпунктом «б» пункта 13 настоящих Правил решения, орган контроля при проведении электронной процедуры направляет такое решение с использованием единой информационной системы путем направления уведомления о размещении таких решения в реестре, предусмотренном частью 21 статьи 99 Закона о контрактной системе.</w:t>
      </w:r>
    </w:p>
    <w:p w:rsidR="00AB3AC3" w:rsidRDefault="00AB3AC3">
      <w:pPr>
        <w:ind w:firstLine="720"/>
        <w:jc w:val="both"/>
        <w:rPr>
          <w:lang w:eastAsia="ru-RU"/>
        </w:rPr>
      </w:pPr>
    </w:p>
    <w:p w:rsidR="00AB3AC3" w:rsidRDefault="00102ECB">
      <w:pPr>
        <w:ind w:firstLine="720"/>
        <w:jc w:val="both"/>
        <w:rPr>
          <w:lang w:eastAsia="ru-RU"/>
        </w:rPr>
      </w:pPr>
      <w:r>
        <w:rPr>
          <w:lang w:eastAsia="ru-RU"/>
        </w:rPr>
        <w:t>Руководствуясь подпунктом «б» пункта 14 Правил ведения реестра недобросовестных поставщиков (подрядчиков, исполнителей), утвержденных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статьей 104 Закона о контрактной системе, Комиссия</w:t>
      </w:r>
    </w:p>
    <w:p w:rsidR="00AB3AC3" w:rsidRDefault="00AB3AC3">
      <w:pPr>
        <w:jc w:val="center"/>
        <w:rPr>
          <w:lang w:eastAsia="ru-RU"/>
        </w:rPr>
      </w:pPr>
    </w:p>
    <w:p w:rsidR="00AB3AC3" w:rsidRDefault="00102ECB">
      <w:pPr>
        <w:jc w:val="center"/>
        <w:rPr>
          <w:b/>
          <w:lang w:eastAsia="ru-RU"/>
        </w:rPr>
      </w:pPr>
      <w:r>
        <w:rPr>
          <w:b/>
          <w:lang w:eastAsia="ru-RU"/>
        </w:rPr>
        <w:t>РЕШИЛА:</w:t>
      </w:r>
    </w:p>
    <w:p w:rsidR="00AB3AC3" w:rsidRDefault="00AB3AC3">
      <w:pPr>
        <w:jc w:val="center"/>
        <w:rPr>
          <w:lang w:eastAsia="ru-RU"/>
        </w:rPr>
      </w:pPr>
    </w:p>
    <w:p w:rsidR="00AB3AC3" w:rsidRDefault="00102ECB">
      <w:pPr>
        <w:ind w:firstLine="708"/>
        <w:jc w:val="both"/>
      </w:pPr>
      <w:r>
        <w:rPr>
          <w:lang w:eastAsia="ru-RU"/>
        </w:rPr>
        <w:t>Сведения об индивидуальном предпринимателе Г</w:t>
      </w:r>
      <w:r w:rsidR="005C41F1" w:rsidRPr="005C41F1">
        <w:rPr>
          <w:lang w:eastAsia="ru-RU"/>
        </w:rPr>
        <w:t>&lt;…&gt;</w:t>
      </w:r>
      <w:r w:rsidR="005C41F1">
        <w:rPr>
          <w:lang w:eastAsia="ru-RU"/>
        </w:rPr>
        <w:t xml:space="preserve"> </w:t>
      </w:r>
      <w:r>
        <w:rPr>
          <w:lang w:eastAsia="ru-RU"/>
        </w:rPr>
        <w:t>(адрес</w:t>
      </w:r>
      <w:proofErr w:type="gramStart"/>
      <w:r>
        <w:rPr>
          <w:lang w:eastAsia="ru-RU"/>
        </w:rPr>
        <w:t xml:space="preserve">: </w:t>
      </w:r>
      <w:r w:rsidR="005C41F1" w:rsidRPr="005C41F1">
        <w:rPr>
          <w:lang w:eastAsia="ru-RU"/>
        </w:rPr>
        <w:t>&lt;…&gt;</w:t>
      </w:r>
      <w:r>
        <w:rPr>
          <w:shd w:val="clear" w:color="auto" w:fill="FFFFFF"/>
          <w:lang w:eastAsia="ru-RU"/>
        </w:rPr>
        <w:t xml:space="preserve">; </w:t>
      </w:r>
      <w:proofErr w:type="gramEnd"/>
      <w:r>
        <w:rPr>
          <w:shd w:val="clear" w:color="auto" w:fill="FFFFFF"/>
          <w:lang w:eastAsia="ru-RU"/>
        </w:rPr>
        <w:t xml:space="preserve">ИНН: </w:t>
      </w:r>
      <w:r w:rsidR="005C41F1" w:rsidRPr="005C41F1">
        <w:rPr>
          <w:lang w:eastAsia="ru-RU"/>
        </w:rPr>
        <w:t>&lt;…&gt;</w:t>
      </w:r>
      <w:r>
        <w:rPr>
          <w:lang w:eastAsia="ru-RU"/>
        </w:rPr>
        <w:t>) в реестр недобросовестных поставщиков не включать.</w:t>
      </w:r>
    </w:p>
    <w:p w:rsidR="00AB3AC3" w:rsidRDefault="00AB3AC3">
      <w:pPr>
        <w:spacing w:line="240" w:lineRule="atLeast"/>
        <w:ind w:firstLine="708"/>
        <w:jc w:val="both"/>
        <w:rPr>
          <w:lang w:eastAsia="ru-RU"/>
        </w:rPr>
      </w:pPr>
    </w:p>
    <w:p w:rsidR="00AB3AC3" w:rsidRDefault="00AB3AC3">
      <w:pPr>
        <w:spacing w:line="240" w:lineRule="atLeast"/>
        <w:ind w:firstLine="708"/>
        <w:jc w:val="both"/>
        <w:rPr>
          <w:lang w:eastAsia="ru-RU"/>
        </w:rPr>
      </w:pPr>
    </w:p>
    <w:p w:rsidR="00AB3AC3" w:rsidRDefault="00AB3AC3">
      <w:pPr>
        <w:spacing w:line="240" w:lineRule="atLeast"/>
        <w:ind w:firstLine="708"/>
        <w:jc w:val="both"/>
        <w:rPr>
          <w:lang w:eastAsia="ru-RU"/>
        </w:rPr>
      </w:pPr>
    </w:p>
    <w:tbl>
      <w:tblPr>
        <w:tblW w:w="10035" w:type="dxa"/>
        <w:tblInd w:w="6" w:type="dxa"/>
        <w:tblLayout w:type="fixed"/>
        <w:tblLook w:val="0000" w:firstRow="0" w:lastRow="0" w:firstColumn="0" w:lastColumn="0" w:noHBand="0" w:noVBand="0"/>
      </w:tblPr>
      <w:tblGrid>
        <w:gridCol w:w="4665"/>
        <w:gridCol w:w="5370"/>
      </w:tblGrid>
      <w:tr w:rsidR="00AB3AC3">
        <w:trPr>
          <w:trHeight w:val="249"/>
        </w:trPr>
        <w:tc>
          <w:tcPr>
            <w:tcW w:w="4665" w:type="dxa"/>
          </w:tcPr>
          <w:p w:rsidR="00AB3AC3" w:rsidRDefault="00102ECB">
            <w:pPr>
              <w:spacing w:line="288" w:lineRule="auto"/>
              <w:ind w:firstLine="737"/>
              <w:jc w:val="both"/>
              <w:rPr>
                <w:lang w:eastAsia="ru-RU"/>
              </w:rPr>
            </w:pPr>
            <w:r>
              <w:rPr>
                <w:lang w:eastAsia="ru-RU"/>
              </w:rPr>
              <w:t>Председатель Комиссии:</w:t>
            </w:r>
          </w:p>
        </w:tc>
        <w:tc>
          <w:tcPr>
            <w:tcW w:w="5370" w:type="dxa"/>
          </w:tcPr>
          <w:p w:rsidR="00AB3AC3" w:rsidRDefault="00102ECB">
            <w:pPr>
              <w:spacing w:line="288" w:lineRule="auto"/>
              <w:ind w:left="57"/>
              <w:rPr>
                <w:lang w:eastAsia="ru-RU"/>
              </w:rPr>
            </w:pPr>
            <w:r>
              <w:rPr>
                <w:lang w:eastAsia="ru-RU"/>
              </w:rPr>
              <w:t xml:space="preserve">                                                        </w:t>
            </w:r>
            <w:r w:rsidR="005C41F1">
              <w:rPr>
                <w:lang w:val="en-US" w:eastAsia="ru-RU"/>
              </w:rPr>
              <w:t>&lt;…&gt;</w:t>
            </w:r>
          </w:p>
        </w:tc>
      </w:tr>
      <w:tr w:rsidR="00AB3AC3">
        <w:trPr>
          <w:trHeight w:val="1247"/>
        </w:trPr>
        <w:tc>
          <w:tcPr>
            <w:tcW w:w="4665" w:type="dxa"/>
          </w:tcPr>
          <w:p w:rsidR="00AB3AC3" w:rsidRDefault="00AB3AC3">
            <w:pPr>
              <w:spacing w:line="288" w:lineRule="auto"/>
              <w:jc w:val="both"/>
              <w:rPr>
                <w:lang w:eastAsia="ru-RU"/>
              </w:rPr>
            </w:pPr>
          </w:p>
          <w:p w:rsidR="00AB3AC3" w:rsidRDefault="00102ECB">
            <w:pPr>
              <w:spacing w:line="288" w:lineRule="auto"/>
              <w:ind w:firstLine="737"/>
              <w:jc w:val="both"/>
              <w:rPr>
                <w:lang w:eastAsia="ru-RU"/>
              </w:rPr>
            </w:pPr>
            <w:r>
              <w:rPr>
                <w:lang w:eastAsia="ru-RU"/>
              </w:rPr>
              <w:t>Члены Комиссии:</w:t>
            </w:r>
          </w:p>
        </w:tc>
        <w:tc>
          <w:tcPr>
            <w:tcW w:w="5370" w:type="dxa"/>
          </w:tcPr>
          <w:p w:rsidR="00AB3AC3" w:rsidRDefault="00102ECB">
            <w:pPr>
              <w:spacing w:line="288" w:lineRule="auto"/>
              <w:ind w:left="2699"/>
              <w:rPr>
                <w:lang w:eastAsia="ru-RU"/>
              </w:rPr>
            </w:pPr>
            <w:r>
              <w:rPr>
                <w:lang w:eastAsia="ru-RU"/>
              </w:rPr>
              <w:t xml:space="preserve">                                                                                    </w:t>
            </w:r>
          </w:p>
          <w:p w:rsidR="00AB3AC3" w:rsidRDefault="00102ECB">
            <w:pPr>
              <w:spacing w:line="288" w:lineRule="auto"/>
              <w:ind w:left="2699"/>
              <w:rPr>
                <w:lang w:eastAsia="ru-RU"/>
              </w:rPr>
            </w:pPr>
            <w:r>
              <w:rPr>
                <w:lang w:eastAsia="ru-RU"/>
              </w:rPr>
              <w:t xml:space="preserve">            </w:t>
            </w:r>
            <w:r w:rsidR="005C41F1">
              <w:rPr>
                <w:lang w:val="en-US" w:eastAsia="ru-RU"/>
              </w:rPr>
              <w:t>&lt;…&gt;</w:t>
            </w:r>
          </w:p>
          <w:p w:rsidR="00AB3AC3" w:rsidRDefault="00AB3AC3">
            <w:pPr>
              <w:spacing w:line="288" w:lineRule="auto"/>
              <w:ind w:left="2699"/>
              <w:rPr>
                <w:lang w:eastAsia="ru-RU"/>
              </w:rPr>
            </w:pPr>
          </w:p>
          <w:p w:rsidR="00AB3AC3" w:rsidRDefault="00102ECB">
            <w:pPr>
              <w:spacing w:line="288" w:lineRule="auto"/>
              <w:ind w:left="2098" w:right="113"/>
              <w:rPr>
                <w:lang w:eastAsia="ru-RU"/>
              </w:rPr>
            </w:pPr>
            <w:r>
              <w:rPr>
                <w:lang w:eastAsia="ru-RU"/>
              </w:rPr>
              <w:t xml:space="preserve">                      </w:t>
            </w:r>
            <w:r w:rsidR="005C41F1">
              <w:rPr>
                <w:lang w:val="en-US" w:eastAsia="ru-RU"/>
              </w:rPr>
              <w:t>&lt;…&gt;</w:t>
            </w:r>
          </w:p>
          <w:p w:rsidR="00AB3AC3" w:rsidRDefault="00AB3AC3">
            <w:pPr>
              <w:spacing w:line="288" w:lineRule="auto"/>
              <w:ind w:left="2699"/>
              <w:rPr>
                <w:lang w:eastAsia="ru-RU"/>
              </w:rPr>
            </w:pPr>
          </w:p>
        </w:tc>
      </w:tr>
    </w:tbl>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AB3AC3">
      <w:pPr>
        <w:ind w:firstLine="709"/>
        <w:jc w:val="both"/>
        <w:rPr>
          <w:lang w:eastAsia="ru-RU"/>
        </w:rPr>
      </w:pPr>
    </w:p>
    <w:p w:rsidR="00AB3AC3" w:rsidRDefault="00102ECB">
      <w:pPr>
        <w:ind w:firstLine="709"/>
        <w:jc w:val="both"/>
        <w:rPr>
          <w:lang w:eastAsia="ru-RU"/>
        </w:rPr>
      </w:pPr>
      <w:r>
        <w:rPr>
          <w:lang w:eastAsia="ru-RU"/>
        </w:rPr>
        <w:t>Настоящее решение может быть обжаловано в суде, арбитражном суде в течение трех месяцев в установленном законом порядке.</w:t>
      </w:r>
      <w:bookmarkEnd w:id="1"/>
      <w:bookmarkEnd w:id="2"/>
      <w:bookmarkEnd w:id="3"/>
      <w:bookmarkEnd w:id="4"/>
    </w:p>
    <w:sectPr w:rsidR="00AB3AC3">
      <w:footerReference w:type="default" r:id="rId20"/>
      <w:footerReference w:type="first" r:id="rId21"/>
      <w:pgSz w:w="11906" w:h="16838"/>
      <w:pgMar w:top="1134" w:right="680" w:bottom="1296" w:left="1191" w:header="0" w:footer="907"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2DC" w:rsidRDefault="008762DC">
      <w:r>
        <w:separator/>
      </w:r>
    </w:p>
  </w:endnote>
  <w:endnote w:type="continuationSeparator" w:id="0">
    <w:p w:rsidR="008762DC" w:rsidRDefault="0087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C3" w:rsidRDefault="00102ECB">
    <w:pPr>
      <w:pStyle w:val="ac"/>
      <w:jc w:val="right"/>
    </w:pPr>
    <w:r>
      <w:rPr>
        <w:noProof/>
        <w:lang w:eastAsia="ru-RU" w:bidi="ar-SA"/>
      </w:rPr>
      <w:drawing>
        <wp:anchor distT="0" distB="0" distL="0" distR="0" simplePos="0" relativeHeight="13" behindDoc="0" locked="0" layoutInCell="0" allowOverlap="1">
          <wp:simplePos x="0" y="0"/>
          <wp:positionH relativeFrom="column">
            <wp:posOffset>0</wp:posOffset>
          </wp:positionH>
          <wp:positionV relativeFrom="paragraph">
            <wp:posOffset>635</wp:posOffset>
          </wp:positionV>
          <wp:extent cx="1511935" cy="288290"/>
          <wp:effectExtent l="0" t="0" r="0" b="0"/>
          <wp:wrapTopAndBottom/>
          <wp:docPr id="5" name="Spd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dBarcode"/>
                  <pic:cNvPicPr>
                    <a:picLocks noChangeAspect="1" noChangeArrowheads="1"/>
                  </pic:cNvPicPr>
                </pic:nvPicPr>
                <pic:blipFill>
                  <a:blip r:embed="rId1"/>
                  <a:srcRect l="22535" r="22535"/>
                  <a:stretch>
                    <a:fillRect/>
                  </a:stretch>
                </pic:blipFill>
                <pic:spPr bwMode="auto">
                  <a:xfrm>
                    <a:off x="0" y="0"/>
                    <a:ext cx="1511935" cy="288290"/>
                  </a:xfrm>
                  <a:prstGeom prst="rect">
                    <a:avLst/>
                  </a:prstGeom>
                </pic:spPr>
              </pic:pic>
            </a:graphicData>
          </a:graphic>
        </wp:anchor>
      </w:drawing>
    </w:r>
  </w:p>
  <w:p w:rsidR="00AB3AC3" w:rsidRDefault="00102ECB">
    <w:pPr>
      <w:pStyle w:val="ac"/>
      <w:jc w:val="right"/>
    </w:pPr>
    <w:r>
      <w:rPr>
        <w:noProof/>
        <w:lang w:eastAsia="ru-RU" w:bidi="ar-SA"/>
      </w:rPr>
      <mc:AlternateContent>
        <mc:Choice Requires="wps">
          <w:drawing>
            <wp:anchor distT="0" distB="0" distL="0" distR="0" simplePos="0" relativeHeight="12" behindDoc="0" locked="0" layoutInCell="0" allowOverlap="1">
              <wp:simplePos x="0" y="0"/>
              <wp:positionH relativeFrom="column">
                <wp:posOffset>0</wp:posOffset>
              </wp:positionH>
              <wp:positionV relativeFrom="paragraph">
                <wp:posOffset>198120</wp:posOffset>
              </wp:positionV>
              <wp:extent cx="1511935" cy="215900"/>
              <wp:effectExtent l="0" t="0" r="0" b="0"/>
              <wp:wrapSquare wrapText="bothSides"/>
              <wp:docPr id="6" name="ProjectNumber"/>
              <wp:cNvGraphicFramePr/>
              <a:graphic xmlns:a="http://schemas.openxmlformats.org/drawingml/2006/main">
                <a:graphicData uri="http://schemas.microsoft.com/office/word/2010/wordprocessingShape">
                  <wps:wsp>
                    <wps:cNvSpPr txBox="1"/>
                    <wps:spPr>
                      <a:xfrm>
                        <a:off x="0" y="0"/>
                        <a:ext cx="1511935" cy="215900"/>
                      </a:xfrm>
                      <a:prstGeom prst="rect">
                        <a:avLst/>
                      </a:prstGeom>
                      <a:solidFill>
                        <a:srgbClr val="FFFFFF"/>
                      </a:solidFill>
                    </wps:spPr>
                    <wps:txbx>
                      <w:txbxContent>
                        <w:p w:rsidR="00AB3AC3" w:rsidRDefault="00102ECB">
                          <w:pPr>
                            <w:pStyle w:val="aa"/>
                          </w:pPr>
                          <w:fldSimple w:instr=" DOCVARIABLE ProjectNumber ">
                            <w:r>
                              <w:t>2026-1054</w:t>
                            </w:r>
                          </w:fldSimple>
                        </w:p>
                      </w:txbxContent>
                    </wps:txbx>
                    <wps:bodyPr lIns="0" tIns="0" rIns="0" bIns="0" anchor="t">
                      <a:noAutofit/>
                    </wps:bodyPr>
                  </wps:wsp>
                </a:graphicData>
              </a:graphic>
            </wp:anchor>
          </w:drawing>
        </mc:Choice>
        <mc:Fallback xmlns:w15="http://schemas.microsoft.com/office/word/2012/wordml">
          <w:pict>
            <v:rect style="position:absolute;rotation:-0;width:119.05pt;height:17pt;mso-wrap-distance-left:0pt;mso-wrap-distance-right:0pt;mso-wrap-distance-top:0pt;mso-wrap-distance-bottom:0pt;margin-top:15.6pt;mso-position-vertical-relative:text;margin-left:0pt;mso-position-horizontal-relative:text">
              <v:textbox inset="0in,0in,0in,0in">
                <w:txbxContent>
                  <w:p>
                    <w:pPr>
                      <w:pStyle w:val="Style15"/>
                      <w:spacing w:before="0" w:after="120"/>
                      <w:rPr/>
                    </w:pPr>
                    <w:r>
                      <w:rPr/>
                      <w:fldChar w:fldCharType="begin"/>
                    </w:r>
                    <w:r>
                      <w:rPr/>
                      <w:instrText xml:space="preserve"> DOCVARIABLE ProjectNumber </w:instrText>
                    </w:r>
                    <w:r>
                      <w:rPr/>
                      <w:fldChar w:fldCharType="separate"/>
                    </w:r>
                    <w:r>
                      <w:rPr/>
                      <w:t>2026-1054</w:t>
                    </w:r>
                    <w:r>
                      <w:rPr/>
                      <w:fldChar w:fldCharType="end"/>
                    </w: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C3" w:rsidRDefault="00102ECB">
    <w:pPr>
      <w:pStyle w:val="ac"/>
      <w:jc w:val="center"/>
    </w:pPr>
    <w:r>
      <w:fldChar w:fldCharType="begin"/>
    </w:r>
    <w:r>
      <w:instrText xml:space="preserve"> PAGE </w:instrText>
    </w:r>
    <w:r>
      <w:fldChar w:fldCharType="separate"/>
    </w:r>
    <w:r w:rsidR="00502932">
      <w:rPr>
        <w:noProof/>
      </w:rPr>
      <w:t>7</w:t>
    </w:r>
    <w:r>
      <w:fldChar w:fldCharType="end"/>
    </w:r>
    <w:r>
      <w:rPr>
        <w:noProof/>
        <w:lang w:eastAsia="ru-RU" w:bidi="ar-SA"/>
      </w:rPr>
      <mc:AlternateContent>
        <mc:Choice Requires="wps">
          <w:drawing>
            <wp:anchor distT="0" distB="0" distL="0" distR="0" simplePos="0" relativeHeight="11" behindDoc="0" locked="0" layoutInCell="0" allowOverlap="1">
              <wp:simplePos x="0" y="0"/>
              <wp:positionH relativeFrom="column">
                <wp:posOffset>0</wp:posOffset>
              </wp:positionH>
              <wp:positionV relativeFrom="paragraph">
                <wp:posOffset>635</wp:posOffset>
              </wp:positionV>
              <wp:extent cx="1727835" cy="215900"/>
              <wp:effectExtent l="0" t="0" r="0" b="0"/>
              <wp:wrapSquare wrapText="bothSides"/>
              <wp:docPr id="7" name="SpdTextFrame"/>
              <wp:cNvGraphicFramePr/>
              <a:graphic xmlns:a="http://schemas.openxmlformats.org/drawingml/2006/main">
                <a:graphicData uri="http://schemas.microsoft.com/office/word/2010/wordprocessingShape">
                  <wps:wsp>
                    <wps:cNvSpPr txBox="1"/>
                    <wps:spPr>
                      <a:xfrm>
                        <a:off x="0" y="0"/>
                        <a:ext cx="1727835" cy="215900"/>
                      </a:xfrm>
                      <a:prstGeom prst="rect">
                        <a:avLst/>
                      </a:prstGeom>
                      <a:solidFill>
                        <a:srgbClr val="FFFFFF"/>
                      </a:solidFill>
                    </wps:spPr>
                    <wps:txbx>
                      <w:txbxContent>
                        <w:p w:rsidR="00AB3AC3" w:rsidRDefault="00102ECB">
                          <w:pPr>
                            <w:pStyle w:val="aa"/>
                          </w:pPr>
                          <w:fldSimple w:instr=" DOCVARIABLE ProjectNumber ">
                            <w:r>
                              <w:t>2026-1054</w:t>
                            </w:r>
                          </w:fldSimple>
                        </w:p>
                      </w:txbxContent>
                    </wps:txbx>
                    <wps:bodyPr lIns="0" tIns="0" rIns="0" bIns="0" anchor="t">
                      <a:noAutofit/>
                    </wps:bodyPr>
                  </wps:wsp>
                </a:graphicData>
              </a:graphic>
            </wp:anchor>
          </w:drawing>
        </mc:Choice>
        <mc:Fallback xmlns:w15="http://schemas.microsoft.com/office/word/2012/wordml">
          <w:pict>
            <v:rect style="position:absolute;rotation:-0;width:136.05pt;height:17pt;mso-wrap-distance-left:0pt;mso-wrap-distance-right:0pt;mso-wrap-distance-top:0pt;mso-wrap-distance-bottom:0pt;margin-top:0pt;mso-position-vertical-relative:text;margin-left:0pt;mso-position-horizontal-relative:text">
              <v:textbox inset="0in,0in,0in,0in">
                <w:txbxContent>
                  <w:p>
                    <w:pPr>
                      <w:pStyle w:val="Style15"/>
                      <w:spacing w:before="0" w:after="120"/>
                      <w:rPr/>
                    </w:pPr>
                    <w:r>
                      <w:rPr/>
                      <w:fldChar w:fldCharType="begin"/>
                    </w:r>
                    <w:r>
                      <w:rPr/>
                      <w:instrText xml:space="preserve"> DOCVARIABLE ProjectNumber </w:instrText>
                    </w:r>
                    <w:r>
                      <w:rPr/>
                      <w:fldChar w:fldCharType="separate"/>
                    </w:r>
                    <w:r>
                      <w:rPr/>
                      <w:t>2026-1054</w:t>
                    </w:r>
                    <w:r>
                      <w:rPr/>
                      <w:fldChar w:fldCharType="end"/>
                    </w:r>
                  </w:p>
                </w:txbxContent>
              </v:textbox>
              <w10:wrap type="square"/>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C3" w:rsidRDefault="00AB3AC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2DC" w:rsidRDefault="008762DC">
      <w:r>
        <w:separator/>
      </w:r>
    </w:p>
  </w:footnote>
  <w:footnote w:type="continuationSeparator" w:id="0">
    <w:p w:rsidR="008762DC" w:rsidRDefault="00876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notation" w:val="Решение по делу № 073/10/104-124/2026"/>
    <w:docVar w:name="BDCTemplate" w:val="Shablon"/>
    <w:docVar w:name="BossProviderVariable" w:val="f3622f0a-133a-461b-90ba-f23aa62d5ea9"/>
    <w:docVar w:name="Ispolnitel" w:val="Мартынова Н.А."/>
    <w:docVar w:name="IspolnitelPhone" w:val="073-255, вн.218"/>
    <w:docVar w:name="KorrespondentOutgoing" w:val="Государственное казённое учреждение Ульяновской Области «Обеспечение судебных участков»_x000a_432017, г. Ульяновск, ул. Спасская, д. 8_x000a_mirsud73@mail.ru_x000a__x000a_ИП ГОНЧАРОВ ЕВГЕНИЙ ВЛАДИМИРОВИЧ_x000a_432026, УЛЬЯНОВСКАЯ ОБЛАСТЬ, г.о. ГОРОД УЛЬЯНОВСК, Г. УЛЬЯНОВСК, УЛ. ПАНОРАМНАЯ, Д. 75, КВ. 42_x000a_centrluch73@yandex.ru"/>
    <w:docVar w:name="PredsedatelDolj" w:val="Заместитель руководителя управления"/>
    <w:docVar w:name="PredsedatelIOF" w:val="К.Ю. Попов"/>
    <w:docVar w:name="ProjectNumber" w:val="2026-1054"/>
  </w:docVars>
  <w:rsids>
    <w:rsidRoot w:val="00AB3AC3"/>
    <w:rsid w:val="00102ECB"/>
    <w:rsid w:val="00502932"/>
    <w:rsid w:val="005C41F1"/>
    <w:rsid w:val="008675D8"/>
    <w:rsid w:val="008762DC"/>
    <w:rsid w:val="00AB3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a4">
    <w:name w:val="Верхний колонтитул Знак"/>
    <w:basedOn w:val="a0"/>
    <w:qFormat/>
    <w:rPr>
      <w:rFonts w:ascii="Times New Roman" w:hAnsi="Times New Roman"/>
      <w:sz w:val="24"/>
      <w:szCs w:val="24"/>
    </w:rPr>
  </w:style>
  <w:style w:type="paragraph" w:customStyle="1" w:styleId="a5">
    <w:name w:val="Заголовок"/>
    <w:basedOn w:val="a"/>
    <w:next w:val="a6"/>
    <w:qFormat/>
    <w:pPr>
      <w:keepNext/>
      <w:spacing w:before="240" w:after="120"/>
    </w:pPr>
    <w:rPr>
      <w:rFonts w:ascii="Arial" w:eastAsia="Microsoft YaHei" w:hAnsi="Arial"/>
      <w:sz w:val="28"/>
      <w:szCs w:val="28"/>
    </w:rPr>
  </w:style>
  <w:style w:type="paragraph" w:styleId="a6">
    <w:name w:val="Body Text"/>
    <w:basedOn w:val="a"/>
    <w:pPr>
      <w:spacing w:after="120"/>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customStyle="1" w:styleId="aa">
    <w:name w:val="Содержимое врезки"/>
    <w:basedOn w:val="a6"/>
    <w:qFormat/>
  </w:style>
  <w:style w:type="paragraph" w:customStyle="1" w:styleId="ab">
    <w:name w:val="Колонтитул"/>
    <w:basedOn w:val="a"/>
    <w:qFormat/>
    <w:pPr>
      <w:suppressLineNumbers/>
      <w:tabs>
        <w:tab w:val="center" w:pos="4819"/>
        <w:tab w:val="right" w:pos="9638"/>
      </w:tabs>
    </w:pPr>
  </w:style>
  <w:style w:type="paragraph" w:styleId="ac">
    <w:name w:val="footer"/>
    <w:basedOn w:val="a"/>
    <w:pPr>
      <w:suppressLineNumbers/>
      <w:tabs>
        <w:tab w:val="center" w:pos="4819"/>
        <w:tab w:val="right" w:pos="9638"/>
      </w:tabs>
    </w:pPr>
  </w:style>
  <w:style w:type="paragraph" w:customStyle="1" w:styleId="ad">
    <w:name w:val="Содержимое таблицы"/>
    <w:basedOn w:val="a"/>
    <w:qFormat/>
    <w:pPr>
      <w:suppressLineNumbers/>
    </w:pPr>
  </w:style>
  <w:style w:type="paragraph" w:customStyle="1" w:styleId="1">
    <w:name w:val="Обычная таблица1"/>
    <w:qFormat/>
    <w:pPr>
      <w:spacing w:after="160" w:line="256" w:lineRule="auto"/>
    </w:pPr>
    <w:rPr>
      <w:rFonts w:ascii="Calibri" w:eastAsia="Times New Roman" w:hAnsi="Calibri" w:cs="Times New Roman"/>
      <w:sz w:val="22"/>
      <w:szCs w:val="22"/>
      <w:lang w:eastAsia="en-US" w:bidi="ar-SA"/>
    </w:rPr>
  </w:style>
  <w:style w:type="paragraph" w:customStyle="1" w:styleId="10">
    <w:name w:val="Сетка таблицы1"/>
    <w:basedOn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a4">
    <w:name w:val="Верхний колонтитул Знак"/>
    <w:basedOn w:val="a0"/>
    <w:qFormat/>
    <w:rPr>
      <w:rFonts w:ascii="Times New Roman" w:hAnsi="Times New Roman"/>
      <w:sz w:val="24"/>
      <w:szCs w:val="24"/>
    </w:rPr>
  </w:style>
  <w:style w:type="paragraph" w:customStyle="1" w:styleId="a5">
    <w:name w:val="Заголовок"/>
    <w:basedOn w:val="a"/>
    <w:next w:val="a6"/>
    <w:qFormat/>
    <w:pPr>
      <w:keepNext/>
      <w:spacing w:before="240" w:after="120"/>
    </w:pPr>
    <w:rPr>
      <w:rFonts w:ascii="Arial" w:eastAsia="Microsoft YaHei" w:hAnsi="Arial"/>
      <w:sz w:val="28"/>
      <w:szCs w:val="28"/>
    </w:rPr>
  </w:style>
  <w:style w:type="paragraph" w:styleId="a6">
    <w:name w:val="Body Text"/>
    <w:basedOn w:val="a"/>
    <w:pPr>
      <w:spacing w:after="120"/>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customStyle="1" w:styleId="aa">
    <w:name w:val="Содержимое врезки"/>
    <w:basedOn w:val="a6"/>
    <w:qFormat/>
  </w:style>
  <w:style w:type="paragraph" w:customStyle="1" w:styleId="ab">
    <w:name w:val="Колонтитул"/>
    <w:basedOn w:val="a"/>
    <w:qFormat/>
    <w:pPr>
      <w:suppressLineNumbers/>
      <w:tabs>
        <w:tab w:val="center" w:pos="4819"/>
        <w:tab w:val="right" w:pos="9638"/>
      </w:tabs>
    </w:pPr>
  </w:style>
  <w:style w:type="paragraph" w:styleId="ac">
    <w:name w:val="footer"/>
    <w:basedOn w:val="a"/>
    <w:pPr>
      <w:suppressLineNumbers/>
      <w:tabs>
        <w:tab w:val="center" w:pos="4819"/>
        <w:tab w:val="right" w:pos="9638"/>
      </w:tabs>
    </w:pPr>
  </w:style>
  <w:style w:type="paragraph" w:customStyle="1" w:styleId="ad">
    <w:name w:val="Содержимое таблицы"/>
    <w:basedOn w:val="a"/>
    <w:qFormat/>
    <w:pPr>
      <w:suppressLineNumbers/>
    </w:pPr>
  </w:style>
  <w:style w:type="paragraph" w:customStyle="1" w:styleId="1">
    <w:name w:val="Обычная таблица1"/>
    <w:qFormat/>
    <w:pPr>
      <w:spacing w:after="160" w:line="256" w:lineRule="auto"/>
    </w:pPr>
    <w:rPr>
      <w:rFonts w:ascii="Calibri" w:eastAsia="Times New Roman" w:hAnsi="Calibri" w:cs="Times New Roman"/>
      <w:sz w:val="22"/>
      <w:szCs w:val="22"/>
      <w:lang w:eastAsia="en-US" w:bidi="ar-SA"/>
    </w:rPr>
  </w:style>
  <w:style w:type="paragraph" w:customStyle="1" w:styleId="10">
    <w:name w:val="Сетка таблицы1"/>
    <w:basedOn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566E0FE586C2EE13F478F7BAEB6BEE20FA1DBE3E3D630A135865DF9F3B6ECC69D245C26F83714652B17C08110A1ED40B9DD206E3FF04AA45J400G" TargetMode="External"/><Relationship Id="rId18" Type="http://schemas.openxmlformats.org/officeDocument/2006/relationships/hyperlink" Target="https://normativ.kontur.ru/document?moduleId=1&amp;documentId=428036"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consultantplus://offline/ref=566E0FE586C2EE13F478F7BAEB6BEE20FA1DBE3E3D630A135865DF9F3B6ECC69D245C26C8573435AE2261815434ADE149ACF18E2E104JA08G" TargetMode="External"/><Relationship Id="rId17" Type="http://schemas.openxmlformats.org/officeDocument/2006/relationships/hyperlink" Target="https://normativ.kontur.ru/document?moduleId=1&amp;documentId=418423" TargetMode="External"/><Relationship Id="rId2" Type="http://schemas.microsoft.com/office/2007/relationships/stylesWithEffects" Target="stylesWithEffects.xml"/><Relationship Id="rId16" Type="http://schemas.openxmlformats.org/officeDocument/2006/relationships/hyperlink" Target="consultantplus://offline/ref=AFF7E70BE7BE9CE19A596DDC681D83219340974E5CB892A4D3C318AFD2A04FFC8E75D8848D468E3D139929CF542BF3BF8A78C8E5935CT220G"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B7A1D24F112C039E073AB8BB3F92052F436605EA20FFFFFE8DCFD3DE66BA1BA577AC410E69A6F52274DF9C1E994BDE387C13E0FB42E0r7pBG" TargetMode="External"/><Relationship Id="rId5" Type="http://schemas.openxmlformats.org/officeDocument/2006/relationships/footnotes" Target="footnotes.xml"/><Relationship Id="rId15" Type="http://schemas.openxmlformats.org/officeDocument/2006/relationships/hyperlink" Target="consultantplus://offline/ref=AFF7E70BE7BE9CE19A596DDC681D83219340974E5CB892A4D3C318AFD2A04FFC8E75D8858B45833D139929CF542BF3BF8A78C8E5935CT220G" TargetMode="External"/><Relationship Id="rId23" Type="http://schemas.openxmlformats.org/officeDocument/2006/relationships/theme" Target="theme/theme1.xml"/><Relationship Id="rId10" Type="http://schemas.openxmlformats.org/officeDocument/2006/relationships/hyperlink" Target="consultantplus://offline/ref=B7A1D24F112C039E073AB8BB3F92052F436605EA20FFFFFE8DCFD3DE66BA1BA577AC410E6CA4FD2274DF9C1E994BDE387C13E0FB42E0r7pBG" TargetMode="External"/><Relationship Id="rId19" Type="http://schemas.openxmlformats.org/officeDocument/2006/relationships/hyperlink" Target="https://normativ.kontur.ru/document?moduleId=1&amp;documentId=428036" TargetMode="Externa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consultantplus://offline/ref=AFF7E70BE7BE9CE19A596DDC681D83219340974E5CB892A4D3C318AFD2A04FFC8E75D8858B45883D139929CF542BF3BF8A78C8E5935CT220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3176</Words>
  <Characters>18107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2019-12-05T19:08:00Z</cp:lastPrinted>
  <dcterms:created xsi:type="dcterms:W3CDTF">2026-04-14T12:39:00Z</dcterms:created>
  <dcterms:modified xsi:type="dcterms:W3CDTF">2026-04-14T12:39:00Z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ContentHash">
    <vt:lpwstr>gFY+w7LpTmUOfjfcbzTwXg==</vt:lpwstr>
  </property>
  <property fmtid="{D5CDD505-2E9C-101B-9397-08002B2CF9AE}" pid="3" name="PreviousContentHash">
    <vt:lpwstr/>
  </property>
  <property fmtid="{D5CDD505-2E9C-101B-9397-08002B2CF9AE}" pid="4" name="Поле 1">
    <vt:lpwstr/>
  </property>
  <property fmtid="{D5CDD505-2E9C-101B-9397-08002B2CF9AE}" pid="5" name="Поле 2">
    <vt:lpwstr/>
  </property>
  <property fmtid="{D5CDD505-2E9C-101B-9397-08002B2CF9AE}" pid="6" name="Поле 3">
    <vt:lpwstr/>
  </property>
  <property fmtid="{D5CDD505-2E9C-101B-9397-08002B2CF9AE}" pid="7" name="Поле 4">
    <vt:lpwstr/>
  </property>
</Properties>
</file>