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sz w:val="25"/>
          <w:szCs w:val="25"/>
          <w:lang w:val="en-US"/>
        </w:rPr>
      </w:pPr>
      <w:r>
        <w:rPr>
          <w:sz w:val="25"/>
          <w:szCs w:val="25"/>
          <w:lang w:val="en-US"/>
        </w:rPr>
      </w:r>
    </w:p>
    <w:p>
      <w:pPr>
        <w:pStyle w:val="Normal"/>
        <w:jc w:val="center"/>
        <w:rPr>
          <w:sz w:val="25"/>
          <w:szCs w:val="25"/>
          <w:lang w:val="en-US"/>
        </w:rPr>
      </w:pPr>
      <w:r>
        <w:rPr>
          <w:sz w:val="25"/>
          <w:szCs w:val="25"/>
          <w:lang w:val="en-US"/>
        </w:rPr>
      </w:r>
    </w:p>
    <w:p>
      <w:pPr>
        <w:pStyle w:val="Normal"/>
        <w:jc w:val="center"/>
        <w:rPr>
          <w:sz w:val="25"/>
          <w:szCs w:val="25"/>
          <w:lang w:val="en-US"/>
        </w:rPr>
      </w:pPr>
      <w:r>
        <w:rPr>
          <w:sz w:val="25"/>
          <w:szCs w:val="25"/>
          <w:lang w:val="en-US"/>
        </w:rPr>
      </w:r>
    </w:p>
    <w:p>
      <w:pPr>
        <w:pStyle w:val="Normal"/>
        <w:jc w:val="center"/>
        <w:rPr>
          <w:sz w:val="25"/>
          <w:szCs w:val="25"/>
          <w:lang w:val="en-US"/>
        </w:rPr>
      </w:pPr>
      <w:r>
        <w:rPr>
          <w:sz w:val="25"/>
          <w:szCs w:val="25"/>
          <w:lang w:val="en-US"/>
        </w:rPr>
      </w:r>
    </w:p>
    <w:p>
      <w:pPr>
        <w:pStyle w:val="Normal"/>
        <w:jc w:val="center"/>
        <w:rPr>
          <w:sz w:val="25"/>
          <w:szCs w:val="25"/>
          <w:lang w:val="en-US"/>
        </w:rPr>
      </w:pPr>
      <w:r>
        <w:rPr>
          <w:sz w:val="25"/>
          <w:szCs w:val="25"/>
          <w:lang w:val="en-US"/>
        </w:rPr>
      </w:r>
    </w:p>
    <w:p>
      <w:pPr>
        <w:pStyle w:val="Normal"/>
        <w:jc w:val="center"/>
        <w:rPr>
          <w:sz w:val="25"/>
          <w:szCs w:val="25"/>
          <w:lang w:val="en-US"/>
        </w:rPr>
      </w:pPr>
      <w:r>
        <w:rPr>
          <w:sz w:val="25"/>
          <w:szCs w:val="25"/>
          <w:lang w:val="en-US"/>
        </w:rPr>
      </w:r>
    </w:p>
    <w:p>
      <w:pPr>
        <w:pStyle w:val="Normal"/>
        <w:jc w:val="center"/>
        <w:rPr>
          <w:sz w:val="25"/>
          <w:szCs w:val="25"/>
          <w:lang w:val="en-US"/>
        </w:rPr>
      </w:pPr>
      <w:r>
        <w:rPr>
          <w:sz w:val="25"/>
          <w:szCs w:val="25"/>
          <w:lang w:val="en-US"/>
        </w:rPr>
      </w:r>
    </w:p>
    <w:p>
      <w:pPr>
        <w:pStyle w:val="Normal"/>
        <w:jc w:val="center"/>
        <w:rPr>
          <w:sz w:val="25"/>
          <w:szCs w:val="25"/>
          <w:lang w:val="en-US"/>
        </w:rPr>
      </w:pPr>
      <w:r>
        <w:rPr>
          <w:sz w:val="25"/>
          <w:szCs w:val="25"/>
          <w:lang w:val="en-US"/>
        </w:rPr>
      </w:r>
    </w:p>
    <w:p>
      <w:pPr>
        <w:pStyle w:val="Normal"/>
        <w:jc w:val="center"/>
        <w:rPr>
          <w:sz w:val="25"/>
          <w:szCs w:val="25"/>
          <w:lang w:val="en-US"/>
        </w:rPr>
      </w:pPr>
      <w:r>
        <w:rPr>
          <w:sz w:val="25"/>
          <w:szCs w:val="25"/>
          <w:lang w:val="en-US"/>
        </w:rPr>
      </w:r>
    </w:p>
    <w:p>
      <w:pPr>
        <w:pStyle w:val="Normal"/>
        <w:jc w:val="center"/>
        <w:rPr>
          <w:sz w:val="25"/>
          <w:szCs w:val="25"/>
        </w:rPr>
      </w:pPr>
      <w:r>
        <w:rPr>
          <w:sz w:val="25"/>
          <w:szCs w:val="25"/>
        </w:rPr>
      </w:r>
    </w:p>
    <w:p>
      <w:pPr>
        <w:pStyle w:val="Normal"/>
        <w:jc w:val="center"/>
        <w:rPr>
          <w:sz w:val="25"/>
          <w:szCs w:val="25"/>
        </w:rPr>
      </w:pPr>
      <w:r>
        <w:rPr>
          <w:sz w:val="25"/>
          <w:szCs w:val="25"/>
        </w:rPr>
      </w:r>
    </w:p>
    <w:p>
      <w:pPr>
        <w:pStyle w:val="Normal"/>
        <w:jc w:val="center"/>
        <w:rPr>
          <w:sz w:val="25"/>
          <w:szCs w:val="25"/>
        </w:rPr>
      </w:pPr>
      <w:r>
        <w:rPr>
          <w:sz w:val="25"/>
          <w:szCs w:val="25"/>
        </w:rPr>
      </w:r>
    </w:p>
    <w:p>
      <w:pPr>
        <w:pStyle w:val="Normal"/>
        <w:jc w:val="center"/>
        <w:rPr>
          <w:sz w:val="25"/>
          <w:szCs w:val="25"/>
          <w:lang w:val="en-US"/>
        </w:rPr>
      </w:pPr>
      <w:r>
        <w:rPr>
          <w:sz w:val="25"/>
          <w:szCs w:val="25"/>
          <w:lang w:val="en-US"/>
        </w:rPr>
      </w:r>
    </w:p>
    <w:p>
      <w:pPr>
        <w:pStyle w:val="Normal"/>
        <w:jc w:val="center"/>
        <w:rPr>
          <w:sz w:val="25"/>
          <w:szCs w:val="25"/>
          <w:lang w:val="en-US"/>
        </w:rPr>
      </w:pPr>
      <w:r>
        <w:rPr>
          <w:sz w:val="25"/>
          <w:szCs w:val="25"/>
          <w:lang w:val="en-US"/>
        </w:rPr>
      </w:r>
    </w:p>
    <w:p>
      <w:pPr>
        <w:pStyle w:val="Normal"/>
        <w:jc w:val="center"/>
        <w:rPr>
          <w:sz w:val="26"/>
          <w:szCs w:val="26"/>
        </w:rPr>
      </w:pPr>
      <w:r>
        <w:rPr>
          <w:sz w:val="26"/>
          <w:szCs w:val="26"/>
        </w:rPr>
        <w:t>РЕШЕНИЕ</w:t>
      </w:r>
    </w:p>
    <w:p>
      <w:pPr>
        <w:pStyle w:val="Normal"/>
        <w:jc w:val="center"/>
        <w:rPr>
          <w:sz w:val="26"/>
          <w:szCs w:val="26"/>
        </w:rPr>
      </w:pPr>
      <w:r>
        <w:rPr>
          <w:sz w:val="26"/>
          <w:szCs w:val="26"/>
        </w:rPr>
        <w:t xml:space="preserve">№ </w:t>
      </w:r>
      <w:r>
        <w:rPr>
          <w:sz w:val="26"/>
          <w:szCs w:val="26"/>
        </w:rPr>
        <w:t>РНП – 23-</w:t>
      </w:r>
      <w:r>
        <w:rPr>
          <w:sz w:val="26"/>
          <w:szCs w:val="26"/>
          <w:lang w:val="en-US"/>
        </w:rPr>
        <w:t>307</w:t>
      </w:r>
      <w:r>
        <w:rPr>
          <w:sz w:val="26"/>
          <w:szCs w:val="26"/>
        </w:rPr>
        <w:t>/2025</w:t>
      </w:r>
    </w:p>
    <w:p>
      <w:pPr>
        <w:pStyle w:val="Normal"/>
        <w:jc w:val="center"/>
        <w:rPr>
          <w:sz w:val="26"/>
          <w:szCs w:val="26"/>
        </w:rPr>
      </w:pPr>
      <w:r>
        <w:rPr>
          <w:sz w:val="26"/>
          <w:szCs w:val="26"/>
        </w:rPr>
        <w:t>по делу №023/10/104-2380</w:t>
      </w:r>
      <w:bookmarkStart w:id="0" w:name="_GoBack"/>
      <w:bookmarkEnd w:id="0"/>
      <w:r>
        <w:rPr>
          <w:sz w:val="26"/>
          <w:szCs w:val="26"/>
        </w:rPr>
        <w:t>/2025</w:t>
      </w:r>
    </w:p>
    <w:p>
      <w:pPr>
        <w:pStyle w:val="Normal"/>
        <w:jc w:val="center"/>
        <w:rPr>
          <w:sz w:val="26"/>
          <w:szCs w:val="26"/>
        </w:rPr>
      </w:pPr>
      <w:r>
        <w:rPr>
          <w:sz w:val="26"/>
          <w:szCs w:val="26"/>
        </w:rPr>
        <w:t>о проведении внеплановой проверки по рассмотрению факта уклонения</w:t>
      </w:r>
    </w:p>
    <w:p>
      <w:pPr>
        <w:pStyle w:val="Normal"/>
        <w:jc w:val="center"/>
        <w:rPr>
          <w:sz w:val="26"/>
          <w:szCs w:val="26"/>
        </w:rPr>
      </w:pPr>
      <w:r>
        <w:rPr>
          <w:sz w:val="26"/>
          <w:szCs w:val="26"/>
        </w:rPr>
        <w:t>участника закупки от исполнения контракта</w:t>
      </w:r>
    </w:p>
    <w:p>
      <w:pPr>
        <w:pStyle w:val="Normal"/>
        <w:jc w:val="center"/>
        <w:rPr>
          <w:sz w:val="26"/>
          <w:szCs w:val="26"/>
        </w:rPr>
      </w:pPr>
      <w:r>
        <w:rPr>
          <w:sz w:val="26"/>
          <w:szCs w:val="26"/>
        </w:rPr>
      </w:r>
    </w:p>
    <w:p>
      <w:pPr>
        <w:pStyle w:val="Normal"/>
        <w:jc w:val="both"/>
        <w:rPr>
          <w:sz w:val="26"/>
          <w:szCs w:val="26"/>
        </w:rPr>
      </w:pPr>
      <w:r>
        <w:rPr>
          <w:sz w:val="26"/>
          <w:szCs w:val="26"/>
        </w:rPr>
        <w:t>04 июня 2025 года                                                                                        г. Краснодар</w:t>
      </w:r>
    </w:p>
    <w:p>
      <w:pPr>
        <w:pStyle w:val="Normal"/>
        <w:jc w:val="both"/>
        <w:rPr>
          <w:sz w:val="26"/>
          <w:szCs w:val="26"/>
        </w:rPr>
      </w:pPr>
      <w:r>
        <w:rPr>
          <w:sz w:val="26"/>
          <w:szCs w:val="26"/>
        </w:rPr>
      </w:r>
    </w:p>
    <w:p>
      <w:pPr>
        <w:pStyle w:val="Normal"/>
        <w:ind w:firstLine="709"/>
        <w:jc w:val="both"/>
        <w:rPr>
          <w:color w:val="000000" w:themeColor="text1"/>
          <w:sz w:val="26"/>
          <w:szCs w:val="26"/>
        </w:rPr>
      </w:pPr>
      <w:r>
        <w:rPr>
          <w:sz w:val="26"/>
          <w:szCs w:val="26"/>
        </w:rPr>
        <w:t xml:space="preserve">Комиссия Управления Федеральной антимонопольной службы по Краснодарскому краю по контролю в сфере закупок товаров, работ, услуг для обеспечения </w:t>
      </w:r>
      <w:r>
        <w:rPr>
          <w:color w:val="000000" w:themeColor="text1"/>
          <w:sz w:val="26"/>
          <w:szCs w:val="26"/>
        </w:rPr>
        <w:t xml:space="preserve">государственных и муниципальных нужд </w:t>
      </w:r>
    </w:p>
    <w:p>
      <w:pPr>
        <w:pStyle w:val="Normal"/>
        <w:ind w:firstLine="709"/>
        <w:jc w:val="both"/>
        <w:rPr>
          <w:color w:val="000000" w:themeColor="text1"/>
          <w:sz w:val="26"/>
          <w:szCs w:val="26"/>
        </w:rPr>
      </w:pPr>
      <w:r>
        <w:rPr/>
      </w:r>
    </w:p>
    <w:p>
      <w:pPr>
        <w:pStyle w:val="Normal"/>
        <w:ind w:firstLine="709"/>
        <w:jc w:val="both"/>
        <w:rPr>
          <w:color w:val="000000" w:themeColor="text1"/>
          <w:sz w:val="26"/>
          <w:szCs w:val="26"/>
        </w:rPr>
      </w:pPr>
      <w:r>
        <w:rPr/>
      </w:r>
    </w:p>
    <w:p>
      <w:pPr>
        <w:pStyle w:val="Normal"/>
        <w:ind w:firstLine="709"/>
        <w:jc w:val="both"/>
        <w:rPr>
          <w:color w:val="000000" w:themeColor="text1"/>
          <w:sz w:val="26"/>
          <w:szCs w:val="26"/>
        </w:rPr>
      </w:pPr>
      <w:r>
        <w:rPr>
          <w:color w:val="000000" w:themeColor="text1"/>
          <w:sz w:val="26"/>
          <w:szCs w:val="26"/>
        </w:rPr>
        <w:t>рассмотрев сведения, представленные администрацией МО м/о город Горячий Ключ о включении в реестр недобросовестных поставщиков (подрядчиков, исполнителей) ООО «ГИДРОСТОЙ» по результатам проведения открытого конкурса в электронной форме: «Ремонт пожарных гидрантов в г. Горячий Ключ Краснодарского края» (извещение № 0318300457624000323),</w:t>
      </w:r>
    </w:p>
    <w:p>
      <w:pPr>
        <w:pStyle w:val="Normal"/>
        <w:ind w:right="-266" w:firstLine="709"/>
        <w:jc w:val="center"/>
        <w:rPr>
          <w:sz w:val="26"/>
          <w:szCs w:val="26"/>
        </w:rPr>
      </w:pPr>
      <w:r>
        <w:rPr>
          <w:sz w:val="26"/>
          <w:szCs w:val="26"/>
        </w:rPr>
        <w:t>УСТАНОВИЛА:</w:t>
      </w:r>
    </w:p>
    <w:p>
      <w:pPr>
        <w:pStyle w:val="Normal"/>
        <w:ind w:right="-266" w:firstLine="709"/>
        <w:jc w:val="center"/>
        <w:rPr>
          <w:sz w:val="26"/>
          <w:szCs w:val="26"/>
        </w:rPr>
      </w:pPr>
      <w:r>
        <w:rPr>
          <w:sz w:val="26"/>
          <w:szCs w:val="26"/>
        </w:rPr>
      </w:r>
    </w:p>
    <w:p>
      <w:pPr>
        <w:pStyle w:val="BodyTextIndent3"/>
        <w:ind w:left="0" w:firstLine="709"/>
        <w:jc w:val="both"/>
        <w:rPr>
          <w:color w:val="000000" w:themeColor="text1"/>
          <w:sz w:val="26"/>
          <w:szCs w:val="26"/>
        </w:rPr>
      </w:pPr>
      <w:r>
        <w:rPr>
          <w:sz w:val="26"/>
          <w:szCs w:val="26"/>
        </w:rPr>
        <w:t xml:space="preserve">В Управление Федеральной антимонопольной службы по Краснодарскому краю поступили сведения </w:t>
      </w:r>
      <w:r>
        <w:rPr>
          <w:color w:val="000000" w:themeColor="text1"/>
          <w:sz w:val="26"/>
          <w:szCs w:val="26"/>
        </w:rPr>
        <w:t xml:space="preserve">администрации МО м/о город Горячий Ключ (далее Заказчик) </w:t>
      </w:r>
      <w:r>
        <w:rPr>
          <w:sz w:val="26"/>
          <w:szCs w:val="26"/>
        </w:rPr>
        <w:t xml:space="preserve">о включении в реестр недобросовестных поставщиков (подрядчиков, исполнителей) </w:t>
      </w:r>
      <w:r>
        <w:rPr>
          <w:color w:val="000000" w:themeColor="text1"/>
          <w:sz w:val="26"/>
          <w:szCs w:val="26"/>
        </w:rPr>
        <w:t>ООО «ГИДРОСТОЙ» по результатам проведения открытого конкурса в электронной форме: «Ремонт пожарных гидрантов в г. Горячий Ключ Краснодарского края» (извещение № 0318300457624000323).</w:t>
      </w:r>
    </w:p>
    <w:p>
      <w:pPr>
        <w:pStyle w:val="1"/>
        <w:shd w:val="clear" w:color="auto" w:fill="auto"/>
        <w:spacing w:lineRule="auto" w:line="240"/>
        <w:ind w:firstLine="709"/>
        <w:jc w:val="both"/>
        <w:rPr/>
      </w:pPr>
      <w:r>
        <w:rPr>
          <w:color w:val="000000" w:themeColor="text1"/>
        </w:rPr>
        <w:t>15.05.2025 г. Заказчиком размещено решение об одностороннем отказе от исполнения контракта в соответствии со ст. 95 Федерального закона от 05.04.2013 № 44-ФЗ «О контрактной</w:t>
      </w:r>
      <w:r>
        <w:rPr/>
        <w:t xml:space="preserve"> системе в сфере закупок товаров, работ, услуг для обеспечения государственных и муниципальных нужд» (далее - Закон о контрактной системе).</w:t>
      </w:r>
    </w:p>
    <w:p>
      <w:pPr>
        <w:pStyle w:val="Style21"/>
        <w:ind w:firstLine="709"/>
        <w:rPr>
          <w:color w:val="000000" w:themeColor="text1"/>
          <w:sz w:val="26"/>
          <w:szCs w:val="26"/>
        </w:rPr>
      </w:pPr>
      <w:r>
        <w:rPr>
          <w:color w:val="000000" w:themeColor="text1"/>
          <w:sz w:val="26"/>
          <w:szCs w:val="26"/>
        </w:rPr>
        <w:t>Заказчиком также предоставлены сведения в соответствии с ч. 3 ст. 104 Закона о контрактной системе:</w:t>
      </w:r>
    </w:p>
    <w:p>
      <w:pPr>
        <w:pStyle w:val="Style21"/>
        <w:tabs>
          <w:tab w:val="clear" w:pos="708"/>
          <w:tab w:val="left" w:pos="-851" w:leader="none"/>
          <w:tab w:val="left" w:pos="-426" w:leader="none"/>
          <w:tab w:val="left" w:pos="284" w:leader="none"/>
        </w:tabs>
        <w:ind w:firstLine="709"/>
        <w:rPr>
          <w:color w:val="000000"/>
          <w:sz w:val="26"/>
          <w:szCs w:val="26"/>
        </w:rPr>
      </w:pPr>
      <w:r>
        <w:rPr>
          <w:color w:val="000000"/>
          <w:sz w:val="26"/>
          <w:szCs w:val="26"/>
        </w:rPr>
        <w:t>- поставщик: ООО «ГИДРОСТРОЙ» (Климасов Андрей Игоревич ИНН 344347327194)</w:t>
      </w:r>
    </w:p>
    <w:p>
      <w:pPr>
        <w:pStyle w:val="Normal"/>
        <w:tabs>
          <w:tab w:val="clear" w:pos="708"/>
          <w:tab w:val="left" w:pos="142" w:leader="none"/>
          <w:tab w:val="left" w:pos="10206" w:leader="none"/>
        </w:tabs>
        <w:ind w:firstLine="709"/>
        <w:jc w:val="both"/>
        <w:rPr>
          <w:color w:val="000000"/>
          <w:sz w:val="26"/>
          <w:szCs w:val="26"/>
          <w:shd w:fill="FFFFFF" w:val="clear"/>
        </w:rPr>
      </w:pPr>
      <w:r>
        <w:rPr>
          <w:color w:val="000000"/>
          <w:sz w:val="26"/>
          <w:szCs w:val="26"/>
        </w:rPr>
        <w:t xml:space="preserve">- </w:t>
      </w:r>
      <w:r>
        <w:rPr>
          <w:color w:val="000000"/>
          <w:sz w:val="26"/>
          <w:szCs w:val="26"/>
          <w:shd w:fill="FFFFFF" w:val="clear"/>
        </w:rPr>
        <w:t>ИНН: 5918220030</w:t>
      </w:r>
    </w:p>
    <w:p>
      <w:pPr>
        <w:pStyle w:val="Normal"/>
        <w:tabs>
          <w:tab w:val="clear" w:pos="708"/>
          <w:tab w:val="left" w:pos="142" w:leader="none"/>
          <w:tab w:val="left" w:pos="10206" w:leader="none"/>
        </w:tabs>
        <w:ind w:firstLine="709"/>
        <w:jc w:val="both"/>
        <w:rPr>
          <w:color w:val="000000"/>
          <w:sz w:val="26"/>
          <w:szCs w:val="26"/>
          <w:shd w:fill="FFFFFF" w:val="clear"/>
        </w:rPr>
      </w:pPr>
      <w:r>
        <w:rPr>
          <w:color w:val="000000"/>
          <w:sz w:val="26"/>
          <w:szCs w:val="26"/>
          <w:shd w:fill="FFFFFF" w:val="clear"/>
        </w:rPr>
        <w:t>- срок исполнения контракта 28.02.2025</w:t>
      </w:r>
    </w:p>
    <w:p>
      <w:pPr>
        <w:pStyle w:val="Normal"/>
        <w:tabs>
          <w:tab w:val="clear" w:pos="708"/>
          <w:tab w:val="left" w:pos="142" w:leader="none"/>
          <w:tab w:val="left" w:pos="10206" w:leader="none"/>
        </w:tabs>
        <w:ind w:firstLine="709"/>
        <w:jc w:val="both"/>
        <w:rPr>
          <w:color w:val="000000"/>
          <w:sz w:val="26"/>
          <w:szCs w:val="26"/>
          <w:shd w:fill="FFFFFF" w:val="clear"/>
        </w:rPr>
      </w:pPr>
      <w:r>
        <w:rPr>
          <w:color w:val="000000"/>
          <w:sz w:val="26"/>
          <w:szCs w:val="26"/>
          <w:shd w:fill="FFFFFF" w:val="clear"/>
        </w:rPr>
        <w:t>- дата расторжения контракта 27.05.2025</w:t>
      </w:r>
    </w:p>
    <w:p>
      <w:pPr>
        <w:pStyle w:val="BodyTextIndent3"/>
        <w:ind w:left="0" w:firstLine="709"/>
        <w:jc w:val="both"/>
        <w:rPr>
          <w:color w:val="000000" w:themeColor="text1"/>
          <w:sz w:val="26"/>
          <w:szCs w:val="26"/>
        </w:rPr>
      </w:pPr>
      <w:r>
        <w:rPr>
          <w:color w:val="000000"/>
          <w:sz w:val="26"/>
          <w:szCs w:val="26"/>
          <w:shd w:fill="FFFFFF" w:val="clear"/>
        </w:rPr>
        <w:t xml:space="preserve">- наименование объекта закупки: </w:t>
      </w:r>
      <w:r>
        <w:rPr>
          <w:color w:val="000000" w:themeColor="text1"/>
          <w:sz w:val="26"/>
          <w:szCs w:val="26"/>
        </w:rPr>
        <w:t>«Ремонт пожарных гидрантов в г. Горячий Ключ Краснодарского края»</w:t>
      </w:r>
    </w:p>
    <w:p>
      <w:pPr>
        <w:pStyle w:val="Normal"/>
        <w:tabs>
          <w:tab w:val="clear" w:pos="708"/>
          <w:tab w:val="left" w:pos="142" w:leader="none"/>
          <w:tab w:val="left" w:pos="10206" w:leader="none"/>
        </w:tabs>
        <w:ind w:firstLine="709"/>
        <w:jc w:val="both"/>
        <w:rPr>
          <w:color w:val="000000"/>
          <w:sz w:val="26"/>
          <w:szCs w:val="26"/>
          <w:shd w:fill="FFFFFF" w:val="clear"/>
        </w:rPr>
      </w:pPr>
      <w:r>
        <w:rPr>
          <w:color w:val="000000"/>
          <w:sz w:val="26"/>
          <w:szCs w:val="26"/>
          <w:shd w:fill="FFFFFF" w:val="clear"/>
        </w:rPr>
        <w:t>- цена контракта 2 200 000,00 рублей.</w:t>
      </w:r>
    </w:p>
    <w:p>
      <w:pPr>
        <w:pStyle w:val="Normal"/>
        <w:tabs>
          <w:tab w:val="clear" w:pos="708"/>
          <w:tab w:val="left" w:pos="142" w:leader="none"/>
          <w:tab w:val="left" w:pos="10206" w:leader="none"/>
        </w:tabs>
        <w:ind w:firstLine="709"/>
        <w:jc w:val="both"/>
        <w:rPr>
          <w:color w:val="000000" w:themeColor="text1"/>
          <w:sz w:val="26"/>
          <w:szCs w:val="26"/>
        </w:rPr>
      </w:pPr>
      <w:r>
        <w:rPr>
          <w:color w:val="000000" w:themeColor="text1"/>
          <w:sz w:val="26"/>
          <w:szCs w:val="26"/>
        </w:rPr>
        <w:t>Рассмотрев представленные сведения, Комиссия пришла к следующим выводам.</w:t>
      </w:r>
    </w:p>
    <w:p>
      <w:pPr>
        <w:pStyle w:val="BodyTextIndent3"/>
        <w:ind w:left="0" w:firstLine="709"/>
        <w:jc w:val="both"/>
        <w:rPr>
          <w:color w:val="000000" w:themeColor="text1"/>
          <w:sz w:val="26"/>
          <w:szCs w:val="26"/>
        </w:rPr>
      </w:pPr>
      <w:r>
        <w:rPr>
          <w:color w:val="000000" w:themeColor="text1"/>
          <w:sz w:val="26"/>
          <w:szCs w:val="26"/>
        </w:rPr>
        <w:t>По результатам проведения открытого конкурса в электронной форме: «Ремонт пожарных гидрантов в г. Горячий Ключ Краснодарского края» (извещение № 0318300457624000323) 19.11.2024 с ООО «ГИДРОСТРОЙ» заключен контракт. В соответствии с п.3.1 контракта срок выполнения работ: 30 календарных дней с момента заключения контракта.</w:t>
      </w:r>
    </w:p>
    <w:p>
      <w:pPr>
        <w:pStyle w:val="Normal"/>
        <w:ind w:firstLine="709"/>
        <w:jc w:val="both"/>
        <w:rPr>
          <w:color w:val="000000" w:themeColor="text1"/>
          <w:sz w:val="26"/>
          <w:szCs w:val="26"/>
        </w:rPr>
      </w:pPr>
      <w:r>
        <w:rPr>
          <w:color w:val="000000" w:themeColor="text1"/>
          <w:sz w:val="26"/>
          <w:szCs w:val="26"/>
        </w:rPr>
        <w:t xml:space="preserve">В силу ст.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r>
        <w:fldChar w:fldCharType="begin"/>
      </w:r>
      <w:r>
        <w:rPr>
          <w:sz w:val="26"/>
          <w:szCs w:val="26"/>
          <w:color w:val="000000"/>
        </w:rPr>
        <w:instrText> HYPERLINK "http://www.consultant.ru/document/cons_doc_LAW_181602/" \l "dst100010"</w:instrText>
      </w:r>
      <w:r>
        <w:rPr>
          <w:sz w:val="26"/>
          <w:szCs w:val="26"/>
          <w:color w:val="000000"/>
        </w:rPr>
        <w:fldChar w:fldCharType="separate"/>
      </w:r>
      <w:r>
        <w:rPr>
          <w:color w:val="000000" w:themeColor="text1"/>
          <w:sz w:val="26"/>
          <w:szCs w:val="26"/>
        </w:rPr>
        <w:t>обычаями</w:t>
      </w:r>
      <w:r>
        <w:rPr>
          <w:sz w:val="26"/>
          <w:szCs w:val="26"/>
          <w:color w:val="000000"/>
        </w:rPr>
        <w:fldChar w:fldCharType="end"/>
      </w:r>
      <w:r>
        <w:rPr>
          <w:color w:val="000000" w:themeColor="text1"/>
          <w:sz w:val="26"/>
          <w:szCs w:val="26"/>
        </w:rPr>
        <w:t xml:space="preserve"> или иными обычно предъявляемыми требованиями.</w:t>
      </w:r>
    </w:p>
    <w:p>
      <w:pPr>
        <w:pStyle w:val="Normal"/>
        <w:ind w:firstLine="709"/>
        <w:jc w:val="both"/>
        <w:rPr>
          <w:color w:val="000000" w:themeColor="text1"/>
          <w:sz w:val="26"/>
          <w:szCs w:val="26"/>
          <w:lang w:bidi="ru-RU"/>
        </w:rPr>
      </w:pPr>
      <w:r>
        <w:rPr>
          <w:color w:val="000000" w:themeColor="text1"/>
          <w:sz w:val="26"/>
          <w:szCs w:val="26"/>
          <w:lang w:bidi="ru-RU"/>
        </w:rPr>
        <w:t>Контрактом предусмотрена возможность расторжения контракта в связи с односторонним отказом стороны контракта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Normal"/>
        <w:ind w:firstLine="709"/>
        <w:jc w:val="both"/>
        <w:rPr>
          <w:color w:val="000000" w:themeColor="text1"/>
          <w:sz w:val="26"/>
          <w:szCs w:val="26"/>
          <w:lang w:bidi="ru-RU"/>
        </w:rPr>
      </w:pPr>
      <w:r>
        <w:rPr>
          <w:color w:val="000000" w:themeColor="text1"/>
          <w:sz w:val="26"/>
          <w:szCs w:val="26"/>
          <w:lang w:bidi="ru-RU"/>
        </w:rPr>
        <w:t>Решение Сторон об одностороннем отказе от исполнения контракта по основаниям, предусмотренным Федеральным законом № 44-ФЗ, ГК РФ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pPr>
        <w:pStyle w:val="Normal"/>
        <w:ind w:firstLine="709"/>
        <w:jc w:val="both"/>
        <w:rPr>
          <w:sz w:val="26"/>
          <w:szCs w:val="26"/>
        </w:rPr>
      </w:pPr>
      <w:r>
        <w:rPr>
          <w:color w:val="000000" w:themeColor="text1"/>
          <w:sz w:val="26"/>
          <w:szCs w:val="26"/>
        </w:rPr>
        <w:t>В соответствии с ч. 9 ст. 95 Закона о контрактной</w:t>
      </w:r>
      <w:r>
        <w:rPr>
          <w:sz w:val="26"/>
          <w:szCs w:val="26"/>
        </w:rPr>
        <w:t xml:space="preserve">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pPr>
        <w:pStyle w:val="Normal"/>
        <w:ind w:firstLine="709"/>
        <w:jc w:val="both"/>
        <w:rPr>
          <w:sz w:val="26"/>
          <w:szCs w:val="26"/>
        </w:rPr>
      </w:pPr>
      <w:r>
        <w:rPr>
          <w:sz w:val="26"/>
          <w:szCs w:val="26"/>
        </w:rPr>
        <w:t>В соответствии с ч. 12.1 ст.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pPr>
        <w:pStyle w:val="Normal"/>
        <w:ind w:firstLine="709"/>
        <w:jc w:val="both"/>
        <w:rPr>
          <w:sz w:val="26"/>
          <w:szCs w:val="26"/>
        </w:rPr>
      </w:pPr>
      <w:r>
        <w:rPr>
          <w:sz w:val="26"/>
          <w:szCs w:val="26"/>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pPr>
        <w:pStyle w:val="Normal"/>
        <w:ind w:firstLine="709"/>
        <w:jc w:val="both"/>
        <w:rPr>
          <w:sz w:val="26"/>
          <w:szCs w:val="26"/>
        </w:rPr>
      </w:pPr>
      <w:r>
        <w:rPr>
          <w:sz w:val="26"/>
          <w:szCs w:val="26"/>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pPr>
        <w:pStyle w:val="Normal"/>
        <w:ind w:firstLine="709"/>
        <w:jc w:val="both"/>
        <w:rPr>
          <w:sz w:val="26"/>
          <w:szCs w:val="26"/>
        </w:rPr>
      </w:pPr>
      <w:r>
        <w:rPr>
          <w:sz w:val="26"/>
          <w:szCs w:val="26"/>
        </w:rPr>
        <w:t>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pPr>
        <w:pStyle w:val="BodyTextIndent3"/>
        <w:ind w:left="0" w:firstLine="709"/>
        <w:jc w:val="both"/>
        <w:rPr>
          <w:color w:val="000000" w:themeColor="text1"/>
          <w:sz w:val="26"/>
          <w:szCs w:val="26"/>
        </w:rPr>
      </w:pPr>
      <w:r>
        <w:rPr>
          <w:color w:val="000000" w:themeColor="text1"/>
          <w:sz w:val="26"/>
          <w:szCs w:val="26"/>
        </w:rPr>
        <w:t>15.05.2025 заказчиком принято решение об одностороннем отказе от исполнения контракта. По состоянию на 24.04.2025 подрядчик не выполнил в полном объеме услуги в установленный срок.</w:t>
      </w:r>
    </w:p>
    <w:p>
      <w:pPr>
        <w:pStyle w:val="Normal"/>
        <w:ind w:firstLine="709"/>
        <w:jc w:val="both"/>
        <w:rPr>
          <w:rStyle w:val="Blk"/>
          <w:sz w:val="26"/>
          <w:szCs w:val="26"/>
        </w:rPr>
      </w:pPr>
      <w:r>
        <w:rPr>
          <w:rStyle w:val="Blk"/>
          <w:sz w:val="26"/>
          <w:szCs w:val="26"/>
        </w:rPr>
        <w:t xml:space="preserve">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 (ч.13 ст.95 Закона о </w:t>
      </w:r>
      <w:r>
        <w:rPr>
          <w:rStyle w:val="Blk"/>
          <w:color w:val="000000" w:themeColor="text1"/>
          <w:sz w:val="26"/>
          <w:szCs w:val="26"/>
        </w:rPr>
        <w:t>контрактной системе).</w:t>
      </w:r>
    </w:p>
    <w:p>
      <w:pPr>
        <w:pStyle w:val="Normal"/>
        <w:ind w:firstLine="709"/>
        <w:jc w:val="both"/>
        <w:rPr>
          <w:color w:val="000000" w:themeColor="text1"/>
          <w:sz w:val="26"/>
          <w:szCs w:val="26"/>
        </w:rPr>
      </w:pPr>
      <w:r>
        <w:rPr>
          <w:sz w:val="26"/>
          <w:szCs w:val="26"/>
        </w:rPr>
        <w:t xml:space="preserve">Таким образом, у Исполнителя </w:t>
      </w:r>
      <w:r>
        <w:rPr>
          <w:rStyle w:val="Blk"/>
          <w:sz w:val="26"/>
          <w:szCs w:val="26"/>
        </w:rPr>
        <w:t xml:space="preserve">имеется десятидневный срок с даты надлежащего уведомления поставщика (подрядчика, исполнителя) о принятом решении, об одностороннем отказе от исполнения контракта для устранения нарушений условий контракта, послужившие основанием для принятия </w:t>
      </w:r>
      <w:r>
        <w:rPr>
          <w:rStyle w:val="Blk"/>
          <w:color w:val="000000" w:themeColor="text1"/>
          <w:sz w:val="26"/>
          <w:szCs w:val="26"/>
        </w:rPr>
        <w:t>указанного решения.</w:t>
      </w:r>
    </w:p>
    <w:p>
      <w:pPr>
        <w:pStyle w:val="Normal"/>
        <w:ind w:firstLine="709"/>
        <w:jc w:val="both"/>
        <w:rPr>
          <w:color w:val="000000" w:themeColor="text1"/>
          <w:sz w:val="26"/>
          <w:szCs w:val="26"/>
        </w:rPr>
      </w:pPr>
      <w:r>
        <w:rPr>
          <w:color w:val="000000" w:themeColor="text1"/>
          <w:sz w:val="26"/>
          <w:szCs w:val="26"/>
        </w:rPr>
        <w:t>Рассмотрев представленные доводы сторон и обстоятельства дела, Комиссия приходит к следующим выводам.</w:t>
      </w:r>
    </w:p>
    <w:p>
      <w:pPr>
        <w:pStyle w:val="Normal"/>
        <w:ind w:firstLine="709"/>
        <w:jc w:val="both"/>
        <w:rPr>
          <w:color w:val="000000" w:themeColor="text1"/>
          <w:sz w:val="26"/>
          <w:szCs w:val="26"/>
        </w:rPr>
      </w:pPr>
      <w:r>
        <w:rPr>
          <w:color w:val="000000" w:themeColor="text1"/>
          <w:sz w:val="26"/>
          <w:szCs w:val="26"/>
        </w:rPr>
        <w:t xml:space="preserve">Как разъяснено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w:t>
      </w:r>
    </w:p>
    <w:p>
      <w:pPr>
        <w:pStyle w:val="Normal"/>
        <w:ind w:firstLine="709"/>
        <w:jc w:val="both"/>
        <w:rPr>
          <w:color w:val="000000" w:themeColor="text1"/>
          <w:sz w:val="26"/>
          <w:szCs w:val="26"/>
        </w:rPr>
      </w:pPr>
      <w:r>
        <w:rPr>
          <w:color w:val="000000" w:themeColor="text1"/>
          <w:sz w:val="26"/>
          <w:szCs w:val="26"/>
        </w:rPr>
        <w:t>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pPr>
        <w:pStyle w:val="Normal"/>
        <w:ind w:firstLine="709"/>
        <w:jc w:val="both"/>
        <w:rPr>
          <w:color w:val="000000" w:themeColor="text1"/>
          <w:sz w:val="26"/>
          <w:szCs w:val="26"/>
        </w:rPr>
      </w:pPr>
      <w:r>
        <w:rPr>
          <w:color w:val="000000" w:themeColor="text1"/>
          <w:sz w:val="26"/>
          <w:szCs w:val="26"/>
        </w:rPr>
        <w:t>При рассмотрении вопроса о законности решения антимонопольного органа о включении или невключении лица в реестр недобросовестных поставщиков</w:t>
      </w:r>
      <w:r>
        <w:rPr>
          <w:sz w:val="26"/>
          <w:szCs w:val="26"/>
        </w:rPr>
        <w:t xml:space="preserve">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Антимонопольный орган при принятии решения о включении в реестр недобросовестных поставщиков не должен ограничиваться формальной позицией, поэтому по делу подлежат установлению обстоятельства недобросовестного поведения поставщика (определение Верховного Суда Российской Федерации от 19.02.2015 № 301-КГ15-632).</w:t>
      </w:r>
    </w:p>
    <w:p>
      <w:pPr>
        <w:pStyle w:val="1"/>
        <w:spacing w:lineRule="auto" w:line="240"/>
        <w:ind w:left="20" w:right="40" w:firstLine="740"/>
        <w:jc w:val="both"/>
        <w:rPr>
          <w:color w:val="000000" w:themeColor="text1"/>
        </w:rPr>
      </w:pPr>
      <w:r>
        <w:rPr/>
        <w:t>Основанием для включения в реестр недобросовестных поставщиков является такое уклонение от исполнения контракта, которое свидетельствует о недобросовестном поведении (определение Верховного Суда Российской Федерации от 11.02.2016 № 305-КГ15-19295).</w:t>
      </w:r>
    </w:p>
    <w:p>
      <w:pPr>
        <w:pStyle w:val="1"/>
        <w:spacing w:lineRule="auto" w:line="240"/>
        <w:ind w:left="20" w:right="40" w:firstLine="740"/>
        <w:jc w:val="both"/>
        <w:rPr/>
      </w:pPr>
      <w:r>
        <w:rPr/>
        <w:t>При применении санкции учитывается характер правонарушения, размер причиненного вреда, степень вины правонарушителя и иные существенные для такого нарушения обстоятельства (определение Верховного Суда Российской Федерации от 13.06.2023 № 301-ЭС23-9136).</w:t>
      </w:r>
    </w:p>
    <w:p>
      <w:pPr>
        <w:pStyle w:val="1"/>
        <w:spacing w:lineRule="auto" w:line="240"/>
        <w:ind w:left="20" w:right="40" w:firstLine="740"/>
        <w:jc w:val="both"/>
        <w:rPr>
          <w:color w:val="000000" w:themeColor="text1"/>
        </w:rPr>
      </w:pPr>
      <w:r>
        <w:rPr>
          <w:color w:val="000000" w:themeColor="text1"/>
        </w:rPr>
        <w:t>В силу п. 15 постановления Правительства РФ от 30 июня 2021 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орган контроля принимает решение об отказе во включении информации о поставщике (подрядчике, исполнителе) в реестр в следующих случаях, 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подпунктом "а" пункта 13 настоящих Правил поставщиком (подрядчиком, исполнителем) представлены информация и документы, подтверждающие принятие им мер для надлежащего исполнения условий контракта.</w:t>
      </w:r>
    </w:p>
    <w:p>
      <w:pPr>
        <w:pStyle w:val="1"/>
        <w:spacing w:lineRule="auto" w:line="240"/>
        <w:ind w:left="20" w:right="40" w:firstLine="740"/>
        <w:jc w:val="both"/>
        <w:rPr>
          <w:color w:val="000000" w:themeColor="text1"/>
        </w:rPr>
      </w:pPr>
      <w:r>
        <w:rPr>
          <w:color w:val="000000" w:themeColor="text1"/>
        </w:rPr>
        <w:t>На основании ч.1 ст.401 ГК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pPr>
        <w:pStyle w:val="BodyTextIndent3"/>
        <w:ind w:left="0" w:firstLine="709"/>
        <w:jc w:val="both"/>
        <w:rPr>
          <w:color w:val="000000" w:themeColor="text1"/>
          <w:sz w:val="26"/>
          <w:szCs w:val="26"/>
        </w:rPr>
      </w:pPr>
      <w:r>
        <w:rPr>
          <w:color w:val="000000" w:themeColor="text1"/>
          <w:sz w:val="26"/>
          <w:szCs w:val="26"/>
        </w:rPr>
        <w:t>По результатам проведения открытого конкурса в электронной форме: «Ремонт пожарных гидрантов в г. Горячий Ключ Краснодарского края» (извещение № 0318300457624000323) 19.11.2024 с ООО «ГИДРОСТРОЙ» заключен контракт. В соответствии с п.3.1 контракта срок выполнения работ: 30 календарных дней с момента заключения контракта. Согласно п.4.3.1 контракта заказчик обязан со дня заключения контракта осуществлять содействие подрядчику в исполнении им своих обязательств по контракту, а также осуществлять действия, позволяющие подрядчику приступить к выполнению работ и своевременно выполнить работы, если в соответствии с законодательством РФ осуществление таких действий возложено на заказчика. П.4.3.10 контракта заказчик в сроки и порядке, которые предусмотрены контрактом, с участием подрядчика осмотреть и принять выполненные работы (их результат), а при обнаружении отступлений от контракта, в том числе ухудшающих результат работ, или иных недостатков в работах немедленно заявить об этом подрядчику. При выявлении недостатков в ходе выполнения работ выдавать акт об устранении выявленных недостатков.</w:t>
      </w:r>
    </w:p>
    <w:p>
      <w:pPr>
        <w:pStyle w:val="BodyTextIndent3"/>
        <w:ind w:left="0" w:firstLine="709"/>
        <w:jc w:val="both"/>
        <w:rPr>
          <w:color w:val="000000" w:themeColor="text1"/>
          <w:sz w:val="26"/>
          <w:szCs w:val="26"/>
        </w:rPr>
      </w:pPr>
      <w:r>
        <w:rPr>
          <w:color w:val="000000" w:themeColor="text1"/>
          <w:sz w:val="26"/>
          <w:szCs w:val="26"/>
        </w:rPr>
        <w:t>Представители ООО «ГИДРОСТРОЙ» пояснили, что Подрядчиком было установлено несоответствие сметы в части указанных материалов (указанные задвижки не существовали, глубина залегания труб водопровода не соответствует смете). На направленные заказчику письма ответы получены электронной почтой только 30.12.2024  при установленном сроке выполнения работ до 19.12.2024. Корректировка сметы заказчиком не осуществлена. Исполнителю не было указано о точном колодце, в котором выполнять работы (на схемах  объектов было указано несколько колодцев). В контракте не предусмотрено согласование на отключение воды. Со стороны заказчика ответственное должностное лицо Калинина А.А. не обеспечила предоставление необходимой информации.</w:t>
      </w:r>
    </w:p>
    <w:p>
      <w:pPr>
        <w:pStyle w:val="BodyTextIndent3"/>
        <w:ind w:left="0" w:firstLine="709"/>
        <w:jc w:val="both"/>
        <w:rPr>
          <w:color w:val="000000" w:themeColor="text1"/>
          <w:sz w:val="26"/>
          <w:szCs w:val="26"/>
        </w:rPr>
      </w:pPr>
      <w:r>
        <w:rPr>
          <w:color w:val="000000" w:themeColor="text1"/>
          <w:sz w:val="26"/>
          <w:szCs w:val="26"/>
        </w:rPr>
        <w:t>24.12.2024 подрядчиком загружен документ о приемке №1 от 24.12.2024 на сумму 2 200 000,00 рублей, который не подписан заказчиком. Отказано в рассмотрении без объяснения причин (в ЕИС отсутствует). 31.01.2025 подрядчиком загружен документ о приемке №1 от 24.12.2024 (испр. №1 от 31.01.2025) на сумму 2 048 000,00 рублей, который не подписан заказчиком. Отказано в рассмотрении без объяснения причин (в ЕИС отсутствует).</w:t>
      </w:r>
    </w:p>
    <w:p>
      <w:pPr>
        <w:pStyle w:val="BodyTextIndent3"/>
        <w:ind w:left="0" w:firstLine="709"/>
        <w:jc w:val="both"/>
        <w:rPr>
          <w:color w:val="000000" w:themeColor="text1"/>
          <w:sz w:val="26"/>
          <w:szCs w:val="26"/>
        </w:rPr>
      </w:pPr>
      <w:r>
        <w:rPr>
          <w:color w:val="000000" w:themeColor="text1"/>
          <w:sz w:val="26"/>
          <w:szCs w:val="26"/>
        </w:rPr>
        <w:t xml:space="preserve"> </w:t>
      </w:r>
      <w:r>
        <w:rPr>
          <w:color w:val="000000" w:themeColor="text1"/>
          <w:sz w:val="26"/>
          <w:szCs w:val="26"/>
        </w:rPr>
        <w:t>24.04.2025 заказчиком подписан документ о приемке №1 от 24.12.2024 (испр. №2 от 13.04.2025) на сумму 621 629,75 рублей.</w:t>
      </w:r>
    </w:p>
    <w:p>
      <w:pPr>
        <w:pStyle w:val="BodyTextIndent3"/>
        <w:ind w:left="0" w:firstLine="709"/>
        <w:jc w:val="both"/>
        <w:rPr>
          <w:color w:val="000000" w:themeColor="text1"/>
          <w:sz w:val="26"/>
          <w:szCs w:val="26"/>
        </w:rPr>
      </w:pPr>
      <w:r>
        <w:rPr>
          <w:color w:val="000000" w:themeColor="text1"/>
          <w:sz w:val="26"/>
          <w:szCs w:val="26"/>
        </w:rPr>
        <w:t>15.05.2025 заказчиком принято решение об одностороннем отказе от исполнения контракта, согласно которому по состоянию на 24.04.2025 подрядчик не выполнил в полном объеме услуги в установленный срок. В составе решения размещено экспертное заключение от 14.05.2025, согласно которому выполненные работы не в полном объеме соответствуют условиям контракта. При этом, представитель подрядчика в нарушение условий контракта, ст.720 ГК РФ к участию в приемке не приглашался.  Представленный акт не содержит перечень невыполненных работ, сроки устранения. Заказчик в пояснениях указывает, что не выполнены работы на сумму 1 578 370,00 рублей. Однако перечень невыполненных работ не представлен. Акты об устранении выявленных недостатков с указанием сроков устранения в материалы дела заказчиком не предоставлены. Доказательства своевременного решения вопросов, возникающих у подрядчика в период исполнения контракта, в материалах дела также отсутствуют.</w:t>
      </w:r>
    </w:p>
    <w:p>
      <w:pPr>
        <w:pStyle w:val="BodyTextIndent3"/>
        <w:ind w:left="0" w:firstLine="709"/>
        <w:jc w:val="both"/>
        <w:rPr>
          <w:color w:val="000000" w:themeColor="text1"/>
          <w:sz w:val="26"/>
          <w:szCs w:val="26"/>
        </w:rPr>
      </w:pPr>
      <w:r>
        <w:rPr>
          <w:color w:val="000000" w:themeColor="text1"/>
          <w:sz w:val="26"/>
          <w:szCs w:val="26"/>
        </w:rPr>
        <w:t>С учетом представленных материалов, Комиссия приходит к выводу, что ООО «ГИДРОСТРОЙ» осуществляло действия, направленные на исполнение контракта.</w:t>
      </w:r>
    </w:p>
    <w:p>
      <w:pPr>
        <w:pStyle w:val="1"/>
        <w:spacing w:lineRule="auto" w:line="240"/>
        <w:ind w:left="20" w:right="40" w:firstLine="740"/>
        <w:jc w:val="both"/>
        <w:rPr>
          <w:color w:val="000000" w:themeColor="text1"/>
        </w:rPr>
      </w:pPr>
      <w:r>
        <w:rPr>
          <w:color w:val="000000" w:themeColor="text1"/>
        </w:rPr>
        <w:t>Согласно ч.2 ст. 104 Закона о контрактной системе</w:t>
      </w:r>
      <w:r>
        <w:rPr/>
        <w:t xml:space="preserve">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pPr>
        <w:pStyle w:val="Normal"/>
        <w:ind w:firstLine="709"/>
        <w:jc w:val="both"/>
        <w:rPr>
          <w:color w:val="000000" w:themeColor="text1"/>
          <w:sz w:val="26"/>
          <w:szCs w:val="26"/>
        </w:rPr>
      </w:pPr>
      <w:r>
        <w:rPr>
          <w:sz w:val="26"/>
          <w:szCs w:val="26"/>
        </w:rPr>
        <w:t xml:space="preserve">На основании изложенного, руководствуясь ч. 2 ст. 104 Закона о контрактной системе, постановлением Правительства Российской Федерации от 30.06.2021г.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w:t>
      </w:r>
      <w:r>
        <w:rPr>
          <w:color w:val="000000" w:themeColor="text1"/>
          <w:sz w:val="26"/>
          <w:szCs w:val="26"/>
        </w:rPr>
        <w:t>Федерации»,</w:t>
      </w:r>
    </w:p>
    <w:p>
      <w:pPr>
        <w:pStyle w:val="Normal"/>
        <w:spacing w:before="120" w:after="0"/>
        <w:ind w:firstLine="709"/>
        <w:jc w:val="center"/>
        <w:rPr>
          <w:color w:val="000000" w:themeColor="text1"/>
          <w:sz w:val="26"/>
          <w:szCs w:val="26"/>
        </w:rPr>
      </w:pPr>
      <w:r>
        <w:rPr>
          <w:color w:val="000000" w:themeColor="text1"/>
          <w:sz w:val="26"/>
          <w:szCs w:val="26"/>
        </w:rPr>
        <w:t>РЕШИЛА:</w:t>
      </w:r>
    </w:p>
    <w:p>
      <w:pPr>
        <w:pStyle w:val="Normal"/>
        <w:spacing w:before="120" w:after="0"/>
        <w:ind w:firstLine="709"/>
        <w:jc w:val="center"/>
        <w:rPr>
          <w:color w:val="000000" w:themeColor="text1"/>
          <w:sz w:val="26"/>
          <w:szCs w:val="26"/>
        </w:rPr>
      </w:pPr>
      <w:r>
        <w:rPr>
          <w:color w:val="000000" w:themeColor="text1"/>
          <w:sz w:val="26"/>
          <w:szCs w:val="26"/>
        </w:rPr>
      </w:r>
    </w:p>
    <w:p>
      <w:pPr>
        <w:pStyle w:val="Style21"/>
        <w:tabs>
          <w:tab w:val="clear" w:pos="708"/>
          <w:tab w:val="left" w:pos="-851" w:leader="none"/>
          <w:tab w:val="left" w:pos="-426" w:leader="none"/>
          <w:tab w:val="left" w:pos="284" w:leader="none"/>
        </w:tabs>
        <w:ind w:hanging="0"/>
        <w:rPr>
          <w:color w:val="000000"/>
          <w:sz w:val="26"/>
          <w:szCs w:val="26"/>
        </w:rPr>
      </w:pPr>
      <w:r>
        <w:rPr>
          <w:color w:val="000000" w:themeColor="text1"/>
          <w:sz w:val="26"/>
          <w:szCs w:val="26"/>
        </w:rPr>
        <w:tab/>
        <w:tab/>
      </w:r>
      <w:r>
        <w:rPr>
          <w:sz w:val="26"/>
          <w:szCs w:val="26"/>
        </w:rPr>
        <w:t xml:space="preserve">Сведения, представленные </w:t>
      </w:r>
      <w:r>
        <w:rPr>
          <w:color w:val="000000" w:themeColor="text1"/>
          <w:sz w:val="26"/>
          <w:szCs w:val="26"/>
        </w:rPr>
        <w:t>администрацией МО м/о город Горячий Ключ (</w:t>
      </w:r>
      <w:r>
        <w:rPr>
          <w:sz w:val="26"/>
          <w:szCs w:val="26"/>
        </w:rPr>
        <w:t xml:space="preserve">в отношении </w:t>
      </w:r>
      <w:r>
        <w:rPr>
          <w:color w:val="000000"/>
          <w:sz w:val="26"/>
          <w:szCs w:val="26"/>
        </w:rPr>
        <w:t xml:space="preserve">ООО «ГИДРОСТРОЙ» не </w:t>
      </w:r>
      <w:r>
        <w:rPr>
          <w:sz w:val="26"/>
          <w:szCs w:val="26"/>
        </w:rPr>
        <w:t>включать в реестр недобросовестных поставщиков.</w:t>
      </w:r>
    </w:p>
    <w:p>
      <w:pPr>
        <w:pStyle w:val="Style21"/>
        <w:spacing w:before="120" w:after="0"/>
        <w:ind w:firstLine="709"/>
        <w:rPr>
          <w:sz w:val="26"/>
          <w:szCs w:val="26"/>
        </w:rPr>
      </w:pPr>
      <w:r>
        <w:rPr>
          <w:sz w:val="26"/>
          <w:szCs w:val="26"/>
        </w:rPr>
        <w:t>Настоящее Решение может быть обжаловано в судебном порядке в течение трех месяцев со дня его принятия.</w:t>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swiss"/>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f3d03"/>
    <w:pPr>
      <w:widowControl/>
      <w:bidi w:val="0"/>
      <w:spacing w:lineRule="auto" w:line="240" w:before="0" w:after="0"/>
      <w:jc w:val="left"/>
    </w:pPr>
    <w:rPr>
      <w:rFonts w:ascii="Times New Roman" w:hAnsi="Times New Roman" w:eastAsia="Times New Roman" w:cs="Times New Roman"/>
      <w:color w:val="auto"/>
      <w:kern w:val="0"/>
      <w:sz w:val="24"/>
      <w:szCs w:val="24"/>
      <w:lang w:eastAsia="ru-RU" w:val="ru-RU" w:bidi="ar-SA"/>
    </w:rPr>
  </w:style>
  <w:style w:type="character" w:styleId="DefaultParagraphFont" w:default="1">
    <w:name w:val="Default Paragraph Font"/>
    <w:uiPriority w:val="1"/>
    <w:semiHidden/>
    <w:unhideWhenUsed/>
    <w:qFormat/>
    <w:rPr/>
  </w:style>
  <w:style w:type="character" w:styleId="Style14">
    <w:name w:val="Интернет-ссылка"/>
    <w:basedOn w:val="DefaultParagraphFont"/>
    <w:uiPriority w:val="99"/>
    <w:semiHidden/>
    <w:unhideWhenUsed/>
    <w:rsid w:val="00df3d03"/>
    <w:rPr>
      <w:strike w:val="false"/>
      <w:dstrike w:val="false"/>
      <w:color w:val="0075C5"/>
      <w:u w:val="none"/>
      <w:effect w:val="none"/>
    </w:rPr>
  </w:style>
  <w:style w:type="character" w:styleId="Style15" w:customStyle="1">
    <w:name w:val="Основной текст с отступом Знак"/>
    <w:basedOn w:val="DefaultParagraphFont"/>
    <w:link w:val="a4"/>
    <w:qFormat/>
    <w:rsid w:val="00df3d03"/>
    <w:rPr>
      <w:rFonts w:ascii="Times New Roman" w:hAnsi="Times New Roman" w:eastAsia="Times New Roman" w:cs="Times New Roman"/>
      <w:sz w:val="24"/>
      <w:szCs w:val="24"/>
      <w:lang w:eastAsia="ru-RU"/>
    </w:rPr>
  </w:style>
  <w:style w:type="character" w:styleId="3" w:customStyle="1">
    <w:name w:val="Основной текст с отступом 3 Знак"/>
    <w:basedOn w:val="DefaultParagraphFont"/>
    <w:link w:val="3"/>
    <w:uiPriority w:val="99"/>
    <w:qFormat/>
    <w:rsid w:val="00df3d03"/>
    <w:rPr>
      <w:rFonts w:ascii="Times New Roman" w:hAnsi="Times New Roman" w:eastAsia="Times New Roman" w:cs="Times New Roman"/>
      <w:sz w:val="16"/>
      <w:szCs w:val="16"/>
      <w:lang w:eastAsia="ru-RU"/>
    </w:rPr>
  </w:style>
  <w:style w:type="character" w:styleId="Blk" w:customStyle="1">
    <w:name w:val="blk"/>
    <w:basedOn w:val="DefaultParagraphFont"/>
    <w:qFormat/>
    <w:rsid w:val="00df3d03"/>
    <w:rPr/>
  </w:style>
  <w:style w:type="character" w:styleId="Sectioninfo" w:customStyle="1">
    <w:name w:val="section__info"/>
    <w:basedOn w:val="DefaultParagraphFont"/>
    <w:qFormat/>
    <w:rsid w:val="00df3d03"/>
    <w:rPr/>
  </w:style>
  <w:style w:type="paragraph" w:styleId="Style16">
    <w:name w:val="Заголовок"/>
    <w:basedOn w:val="Normal"/>
    <w:next w:val="Style17"/>
    <w:qFormat/>
    <w:pPr>
      <w:keepNext w:val="true"/>
      <w:spacing w:before="240" w:after="120"/>
    </w:pPr>
    <w:rPr>
      <w:rFonts w:ascii="Liberation Sans" w:hAnsi="Liberation Sans" w:eastAsia="Microsoft YaHei" w:cs="Lucida Sans"/>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Lucida Sans"/>
    </w:rPr>
  </w:style>
  <w:style w:type="paragraph" w:styleId="Style19">
    <w:name w:val="Caption"/>
    <w:basedOn w:val="Normal"/>
    <w:qFormat/>
    <w:pPr>
      <w:suppressLineNumbers/>
      <w:spacing w:before="120" w:after="120"/>
    </w:pPr>
    <w:rPr>
      <w:rFonts w:cs="Lucida Sans"/>
      <w:i/>
      <w:iCs/>
      <w:sz w:val="24"/>
      <w:szCs w:val="24"/>
    </w:rPr>
  </w:style>
  <w:style w:type="paragraph" w:styleId="Style20">
    <w:name w:val="Указатель"/>
    <w:basedOn w:val="Normal"/>
    <w:qFormat/>
    <w:pPr>
      <w:suppressLineNumbers/>
    </w:pPr>
    <w:rPr>
      <w:rFonts w:cs="Lucida Sans"/>
      <w:lang w:val="zxx" w:eastAsia="zxx" w:bidi="zxx"/>
    </w:rPr>
  </w:style>
  <w:style w:type="paragraph" w:styleId="Style21">
    <w:name w:val="Body Text Indent"/>
    <w:basedOn w:val="Normal"/>
    <w:link w:val="a5"/>
    <w:unhideWhenUsed/>
    <w:rsid w:val="00df3d03"/>
    <w:pPr>
      <w:ind w:firstLine="560"/>
      <w:jc w:val="both"/>
    </w:pPr>
    <w:rPr/>
  </w:style>
  <w:style w:type="paragraph" w:styleId="BodyTextIndent3">
    <w:name w:val="Body Text Indent 3"/>
    <w:basedOn w:val="Normal"/>
    <w:link w:val="30"/>
    <w:uiPriority w:val="99"/>
    <w:unhideWhenUsed/>
    <w:qFormat/>
    <w:rsid w:val="00df3d03"/>
    <w:pPr>
      <w:spacing w:before="0" w:after="120"/>
      <w:ind w:left="283" w:hanging="0"/>
    </w:pPr>
    <w:rPr>
      <w:sz w:val="16"/>
      <w:szCs w:val="16"/>
    </w:rPr>
  </w:style>
  <w:style w:type="paragraph" w:styleId="1" w:customStyle="1">
    <w:name w:val="Основной текст1"/>
    <w:basedOn w:val="Normal"/>
    <w:qFormat/>
    <w:rsid w:val="00df3d03"/>
    <w:pPr>
      <w:widowControl w:val="false"/>
      <w:shd w:val="clear" w:color="auto" w:fill="FFFFFF"/>
      <w:spacing w:lineRule="exact" w:line="269"/>
      <w:jc w:val="center"/>
    </w:pPr>
    <w:rPr>
      <w:color w:val="000000"/>
      <w:sz w:val="26"/>
      <w:szCs w:val="26"/>
      <w:lang w:bidi="ru-RU"/>
    </w:rPr>
  </w:style>
  <w:style w:type="paragraph" w:styleId="Parametervalue" w:customStyle="1">
    <w:name w:val="parametervalue"/>
    <w:basedOn w:val="Normal"/>
    <w:qFormat/>
    <w:rsid w:val="00df3d03"/>
    <w:pPr>
      <w:spacing w:beforeAutospacing="1" w:afterAutospacing="1"/>
    </w:pPr>
    <w:rPr/>
  </w:style>
  <w:style w:type="paragraph" w:styleId="Default" w:customStyle="1">
    <w:name w:val="Default"/>
    <w:qFormat/>
    <w:rsid w:val="00df3d03"/>
    <w:pPr>
      <w:widowControl/>
      <w:bidi w:val="0"/>
      <w:spacing w:lineRule="auto" w:line="240" w:before="0" w:after="0"/>
      <w:jc w:val="left"/>
    </w:pPr>
    <w:rPr>
      <w:rFonts w:ascii="Times New Roman" w:hAnsi="Times New Roman" w:cs="Times New Roman" w:eastAsia="Calibri"/>
      <w:color w:val="000000"/>
      <w:kern w:val="0"/>
      <w:sz w:val="24"/>
      <w:szCs w:val="24"/>
      <w:lang w:val="ru-RU" w:eastAsia="en-US" w:bidi="ar-SA"/>
    </w:rPr>
  </w:style>
  <w:style w:type="paragraph" w:styleId="ListParagraph">
    <w:name w:val="List Paragraph"/>
    <w:basedOn w:val="Normal"/>
    <w:uiPriority w:val="34"/>
    <w:qFormat/>
    <w:rsid w:val="00f2577b"/>
    <w:pPr>
      <w:spacing w:before="0" w:after="0"/>
      <w:ind w:left="720" w:hanging="0"/>
      <w:contextualSpacing/>
    </w:pPr>
    <w:rPr/>
  </w:style>
  <w:style w:type="paragraph" w:styleId="S1" w:customStyle="1">
    <w:name w:val="s_1"/>
    <w:basedOn w:val="Normal"/>
    <w:qFormat/>
    <w:rsid w:val="00511efa"/>
    <w:pPr>
      <w:spacing w:beforeAutospacing="1" w:afterAutospacing="1"/>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36A27-F618-4AEF-BE60-92D88D06A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1193</TotalTime>
  <Application>LibreOffice/7.2.5.2$Windows_X86_64 LibreOffice_project/499f9727c189e6ef3471021d6132d4c694f357e5</Application>
  <AppVersion>15.0000</AppVersion>
  <Pages>5</Pages>
  <Words>1687</Words>
  <Characters>11898</Characters>
  <CharactersWithSpaces>13632</CharactersWithSpaces>
  <Paragraphs>50</Paragraphs>
  <Company>Computer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2024-09-14T13:50:00Z</dcterms:created>
  <dc:creator>User</dc:creator>
  <dc:description/>
  <dc:language>ru-RU</dc:language>
  <cp:lastModifiedBy/>
  <dcterms:modified xsi:type="dcterms:W3CDTF">2025-06-09T19:41:42Z</dcterms:modified>
  <cp:revision>827</cp:revision>
  <dc:subject/>
  <dc:title/>
</cp:coreProperties>
</file>

<file path=docProps/custom.xml><?xml version="1.0" encoding="utf-8"?>
<Properties xmlns="http://schemas.openxmlformats.org/officeDocument/2006/custom-properties" xmlns:vt="http://schemas.openxmlformats.org/officeDocument/2006/docPropsVTypes"/>
</file>